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Unicode MS" w:hAnsi="Arial Unicode MS" w:eastAsia="Arial Unicode MS"/>
          <w:b/>
          <w:color w:val="2E74B5"/>
          <w:sz w:val="17"/>
        </w:rPr>
        <w:t>SALESLUV · MACHINE LEARNING</w:t>
      </w:r>
    </w:p>
    <w:p>
      <w:pPr>
        <w:spacing w:before="0" w:after="80"/>
      </w:pPr>
      <w:r>
        <w:rPr>
          <w:rFonts w:ascii="Arial Unicode MS" w:hAnsi="Arial Unicode MS" w:eastAsia="Arial Unicode MS"/>
          <w:b/>
          <w:color w:val="18212B"/>
          <w:sz w:val="46"/>
        </w:rPr>
        <w:t>학습한 ML/DL 모델 산출물</w:t>
      </w:r>
    </w:p>
    <w:p>
      <w:pPr>
        <w:spacing w:before="0" w:after="200"/>
        <w:pBdr>
          <w:bottom w:val="single" w:sz="10" w:space="6" w:color="2E74B5"/>
        </w:pBdr>
      </w:pPr>
      <w:r>
        <w:rPr>
          <w:rFonts w:ascii="Arial Unicode MS" w:hAnsi="Arial Unicode MS" w:eastAsia="Arial Unicode MS"/>
          <w:color w:val="667085"/>
          <w:sz w:val="20"/>
        </w:rPr>
        <w:t>deal-stacking-lr-v1 · 2026-08-26</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350"/>
        <w:gridCol w:w="7628"/>
      </w:tblGrid>
      <w:tr>
        <w:trPr>
          <w:cantSplit/>
          <w:tblHeader w:val="true"/>
        </w:trPr>
        <w:tc>
          <w:tcPr>
            <w:tcW w:type="dxa" w:w="2350"/>
            <w:tcMar>
              <w:top w:w="65" w:type="dxa"/>
              <w:start w:w="100" w:type="dxa"/>
              <w:bottom w:w="65" w:type="dxa"/>
              <w:end w:w="100" w:type="dxa"/>
            </w:tcMar>
            <w:vAlign w:val="center"/>
            <w:shd w:fill="E8EEF5"/>
          </w:tcPr>
          <w:p>
            <w:pPr>
              <w:spacing w:before="0" w:after="0" w:line="240" w:lineRule="auto"/>
            </w:pPr>
            <w:r>
              <w:rPr>
                <w:rFonts w:ascii="Arial Unicode MS" w:hAnsi="Arial Unicode MS" w:eastAsia="Arial Unicode MS"/>
                <w:b/>
                <w:color w:val="1F4D78"/>
                <w:sz w:val="17"/>
              </w:rPr>
              <w:t>항목</w:t>
            </w:r>
          </w:p>
        </w:tc>
        <w:tc>
          <w:tcPr>
            <w:tcW w:type="dxa" w:w="7628"/>
            <w:tcMar>
              <w:top w:w="65" w:type="dxa"/>
              <w:start w:w="100" w:type="dxa"/>
              <w:bottom w:w="65" w:type="dxa"/>
              <w:end w:w="100" w:type="dxa"/>
            </w:tcMar>
            <w:vAlign w:val="center"/>
            <w:shd w:fill="E8EEF5"/>
          </w:tcPr>
          <w:p>
            <w:pPr>
              <w:spacing w:before="0" w:after="0" w:line="240" w:lineRule="auto"/>
            </w:pPr>
            <w:r>
              <w:rPr>
                <w:rFonts w:ascii="Arial Unicode MS" w:hAnsi="Arial Unicode MS" w:eastAsia="Arial Unicode MS"/>
                <w:b/>
                <w:color w:val="1F4D78"/>
                <w:sz w:val="17"/>
              </w:rPr>
              <w:t>내용</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제품</w:t>
            </w:r>
          </w:p>
        </w:tc>
        <w:tc>
          <w:tcPr>
            <w:tcW w:type="dxa" w:w="7628"/>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SalesLuv</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모델 역할</w:t>
            </w:r>
          </w:p>
        </w:tc>
        <w:tc>
          <w:tcPr>
            <w:tcW w:type="dxa" w:w="7628"/>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 xml:space="preserve">B2B 딜의 </w:t>
            </w:r>
            <w:r>
              <w:rPr>
                <w:rFonts w:ascii="Arial Unicode MS" w:hAnsi="Arial Unicode MS" w:eastAsia="Arial Unicode MS"/>
                <w:color w:val="1F4D78"/>
                <w:sz w:val="16"/>
                <w:shd w:fill="F2F4F7"/>
              </w:rPr>
              <w:t>Won</w:t>
            </w:r>
            <w:r>
              <w:rPr>
                <w:rFonts w:ascii="Arial Unicode MS" w:hAnsi="Arial Unicode MS" w:eastAsia="Arial Unicode MS"/>
                <w:b w:val="0"/>
                <w:color w:val="18212B"/>
                <w:sz w:val="16"/>
              </w:rPr>
              <w:t xml:space="preserve"> 확률 및 승패 예측</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모델 버전</w:t>
            </w:r>
          </w:p>
        </w:tc>
        <w:tc>
          <w:tcPr>
            <w:tcW w:type="dxa" w:w="7628"/>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color w:val="1F4D78"/>
                <w:sz w:val="16"/>
                <w:shd w:fill="F2F4F7"/>
              </w:rPr>
              <w:t>deal-stacking-lr-v1</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최종 모델</w:t>
            </w:r>
          </w:p>
        </w:tc>
        <w:tc>
          <w:tcPr>
            <w:tcW w:type="dxa" w:w="7628"/>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Stacking_LR</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모델 유형</w:t>
            </w:r>
          </w:p>
        </w:tc>
        <w:tc>
          <w:tcPr>
            <w:tcW w:type="dxa" w:w="7628"/>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5개 기본 분류기 + LogisticRegression 메타모델</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입력</w:t>
            </w:r>
          </w:p>
        </w:tc>
        <w:tc>
          <w:tcPr>
            <w:tcW w:type="dxa" w:w="7628"/>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13개 범주형 컬럼</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분류 임계값</w:t>
            </w:r>
          </w:p>
        </w:tc>
        <w:tc>
          <w:tcPr>
            <w:tcW w:type="dxa" w:w="7628"/>
            <w:tcMar>
              <w:top w:w="65" w:type="dxa"/>
              <w:start w:w="100" w:type="dxa"/>
              <w:bottom w:w="65" w:type="dxa"/>
              <w:end w:w="100" w:type="dxa"/>
            </w:tcMar>
            <w:vAlign w:val="center"/>
            <w:shd w:fill="FAFBFC"/>
          </w:tcPr>
          <w:p>
            <w:pPr>
              <w:spacing w:before="0" w:after="0" w:line="240" w:lineRule="auto"/>
              <w:jc w:val="right"/>
            </w:pPr>
            <w:r>
              <w:rPr>
                <w:rFonts w:ascii="Arial Unicode MS" w:hAnsi="Arial Unicode MS" w:eastAsia="Arial Unicode MS"/>
                <w:color w:val="1F4D78"/>
                <w:sz w:val="16"/>
                <w:shd w:fill="F2F4F7"/>
              </w:rPr>
              <w:t>0.50</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작성 기준일</w:t>
            </w:r>
          </w:p>
        </w:tc>
        <w:tc>
          <w:tcPr>
            <w:tcW w:type="dxa" w:w="7628"/>
            <w:tcMar>
              <w:top w:w="65" w:type="dxa"/>
              <w:start w:w="100" w:type="dxa"/>
              <w:bottom w:w="65" w:type="dxa"/>
              <w:end w:w="100" w:type="dxa"/>
            </w:tcMar>
            <w:vAlign w:val="center"/>
          </w:tcPr>
          <w:p>
            <w:pPr>
              <w:spacing w:before="0" w:after="0" w:line="240" w:lineRule="auto"/>
              <w:jc w:val="right"/>
            </w:pPr>
            <w:r>
              <w:rPr>
                <w:rFonts w:ascii="Arial Unicode MS" w:hAnsi="Arial Unicode MS" w:eastAsia="Arial Unicode MS"/>
                <w:b w:val="0"/>
                <w:color w:val="18212B"/>
                <w:sz w:val="16"/>
              </w:rPr>
              <w:t>2026-08-26</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산출물 상태</w:t>
            </w:r>
          </w:p>
        </w:tc>
        <w:tc>
          <w:tcPr>
            <w:tcW w:type="dxa" w:w="7628"/>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전체 재학습·저장·해시·CPU 재로드 검증 완료, 백엔드 연결 전</w:t>
            </w:r>
          </w:p>
        </w:tc>
      </w:tr>
    </w:tbl>
    <w:p>
      <w:pPr>
        <w:spacing w:after="20"/>
      </w:pPr>
    </w:p>
    <w:p>
      <w:pPr>
        <w:pStyle w:val="Heading1"/>
      </w:pPr>
      <w:r>
        <w:rPr>
          <w:rFonts w:ascii="Arial Unicode MS" w:hAnsi="Arial Unicode MS" w:eastAsia="Arial Unicode MS"/>
          <w:b/>
          <w:color w:val="2E74B5"/>
          <w:sz w:val="30"/>
        </w:rPr>
        <w:t>1. 모델 카드</w:t>
      </w:r>
    </w:p>
    <w:p>
      <w:pPr>
        <w:pStyle w:val="Heading2"/>
        <w:keepNext/>
        <w:widowControl/>
      </w:pPr>
      <w:r>
        <w:rPr>
          <w:rFonts w:ascii="Arial Unicode MS" w:hAnsi="Arial Unicode MS" w:eastAsia="Arial Unicode MS"/>
        </w:rPr>
        <w:t>1.1 목적과 출력</w:t>
      </w:r>
    </w:p>
    <w:p>
      <w:pPr>
        <w:widowControl/>
      </w:pPr>
      <w:r>
        <w:rPr>
          <w:rFonts w:ascii="Arial Unicode MS" w:hAnsi="Arial Unicode MS" w:eastAsia="Arial Unicode MS"/>
        </w:rPr>
        <w:t>구조화 Agent가 미팅 보고서에서 추출한 13개 범주형 값을 받아 계약 성사 클래스 Won의 확률을 계산한다.</w:t>
      </w:r>
    </w:p>
    <w:tbl>
      <w:tblPr>
        <w:tblW w:type="auto" w:w="0"/>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3326"/>
        <w:gridCol w:w="3326"/>
        <w:gridCol w:w="3326"/>
      </w:tblGrid>
      <w:tr>
        <w:trPr>
          <w:cantSplit/>
          <w:tblHeader w:val="true"/>
        </w:trPr>
        <w:tc>
          <w:tcPr>
            <w:tcW w:type="dxa" w:w="2200"/>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출력</w:t>
            </w:r>
          </w:p>
        </w:tc>
        <w:tc>
          <w:tcPr>
            <w:tcW w:type="dxa" w:w="3000"/>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형식</w:t>
            </w:r>
          </w:p>
        </w:tc>
        <w:tc>
          <w:tcPr>
            <w:tcW w:type="dxa" w:w="4778"/>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설명</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won_probability</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0~1 실수</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Stacking 메타모델의 P(Won)</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predicted_class</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Won / Lost</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won_probability &gt;= 0.50이면 Won</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model_version</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문자열</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deal-stacking-lr-v1</w:t>
            </w:r>
          </w:p>
        </w:tc>
      </w:tr>
    </w:tbl>
    <w:p>
      <w:pPr>
        <w:widowControl/>
      </w:pPr>
      <w:r>
        <w:rPr>
          <w:rFonts w:ascii="Arial Unicode MS" w:hAnsi="Arial Unicode MS" w:eastAsia="Arial Unicode MS"/>
        </w:rPr>
        <w:t>모델 확률은 영업 판단을 지원하는 참고 정보다. 계약 승인, 딜 상태 변경, 담당자 평가는 서비스 운영 규칙과 사람이 결정한다.</w:t>
      </w:r>
    </w:p>
    <w:p>
      <w:pPr>
        <w:pStyle w:val="Heading2"/>
        <w:keepNext/>
        <w:widowControl/>
      </w:pPr>
      <w:r>
        <w:rPr>
          <w:rFonts w:ascii="Arial Unicode MS" w:hAnsi="Arial Unicode MS" w:eastAsia="Arial Unicode MS"/>
        </w:rPr>
        <w:t>1.2 구조</w:t>
      </w:r>
    </w:p>
    <w:tbl>
      <w:tblPr>
        <w:tblW w:type="auto" w:w="0"/>
        <w:tblLook w:firstColumn="1" w:firstRow="1" w:lastColumn="0" w:lastRow="0" w:noHBand="0" w:noVBand="1" w:val="04A0"/>
      </w:tblPr>
      <w:tblGrid>
        <w:gridCol w:w="9978"/>
      </w:tblGrid>
      <w:tr>
        <w:tc>
          <w:tcPr>
            <w:tcW w:type="dxa" w:w="9978"/>
            <w:shd w:fill="F2F4F7"/>
            <w:tcMar>
              <w:top w:w="110" w:type="dxa"/>
              <w:start w:w="140" w:type="dxa"/>
              <w:bottom w:w="110" w:type="dxa"/>
              <w:end w:w="140" w:type="dxa"/>
            </w:tcMar>
          </w:tcPr>
          <w:p>
            <w:pPr>
              <w:spacing w:after="0" w:line="240" w:lineRule="auto"/>
            </w:pPr>
            <w:r>
              <w:rPr>
                <w:rFonts w:ascii="Arial Unicode MS" w:hAnsi="Arial Unicode MS" w:eastAsia="Arial Unicode MS"/>
                <w:sz w:val="16"/>
              </w:rPr>
              <w:t>13개 범주형 입력</w:t>
              <w:br/>
              <w:t>├─ OneHotEncoder → LogisticRegression ─┐</w:t>
              <w:br/>
              <w:t>├─ OneHotEncoder → MultinomialNB ──────┤</w:t>
              <w:br/>
              <w:t>├─ OneHotEncoder → ExtraTrees ─────────┼─ 5개 P(Won)</w:t>
              <w:br/>
              <w:t>├─ CatBoost ────────────────────────────┤</w:t>
              <w:br/>
              <w:t>└─ TabICL ──────────────────────────────┘</w:t>
              <w:br/>
              <w:t xml:space="preserve">                      ↓</w:t>
              <w:br/>
              <w:t xml:space="preserve">        LogisticRegression 메타모델</w:t>
              <w:br/>
              <w:t xml:space="preserve">                      ↓</w:t>
              <w:br/>
              <w:t xml:space="preserve">              최종 P(Won), 임계값 0.50</w:t>
            </w:r>
          </w:p>
        </w:tc>
      </w:tr>
    </w:tbl>
    <w:p>
      <w:pPr>
        <w:widowControl/>
      </w:pPr>
      <w:r>
        <w:rPr>
          <w:rFonts w:ascii="Arial Unicode MS" w:hAnsi="Arial Unicode MS" w:eastAsia="Arial Unicode MS"/>
        </w:rPr>
        <w:t>Stacking 메타모델은 기본 모델의 OOF 확률로 학습한다. 최종 추론에는 다섯 기본 모델이 모두 필요하다.</w:t>
      </w:r>
    </w:p>
    <w:p>
      <w:pPr>
        <w:widowControl/>
      </w:pPr>
      <w:r>
        <w:rPr>
          <w:rFonts w:ascii="Arial Unicode MS" w:hAnsi="Arial Unicode MS" w:eastAsia="Arial Unicode MS"/>
        </w:rPr>
        <w:t>다섯 기본 모델은 선형 확률 모델(LogisticRegression), 빈도 기반 확률 모델(MultinomialNB), 비선형 배깅 트리(ExtraTrees), 범주형 부스팅(CatBoost), 표형 파운데이션 모델(TabICL)을 각각 대표한다. 서로 다른 학습 방식의 확률을 비교하고 결합하기 위해 이 구성을 선택했다.</w:t>
      </w:r>
    </w:p>
    <w:p>
      <w:pPr>
        <w:pStyle w:val="Heading1"/>
        <w:keepNext/>
        <w:widowControl/>
      </w:pPr>
      <w:r>
        <w:rPr>
          <w:rFonts w:ascii="Arial Unicode MS" w:hAnsi="Arial Unicode MS" w:eastAsia="Arial Unicode MS"/>
        </w:rPr>
        <w:t>2. 입력 계약</w:t>
      </w:r>
    </w:p>
    <w:p>
      <w:pPr>
        <w:pStyle w:val="Heading2"/>
        <w:keepNext/>
        <w:widowControl/>
      </w:pPr>
      <w:r>
        <w:rPr>
          <w:rFonts w:ascii="Arial Unicode MS" w:hAnsi="Arial Unicode MS" w:eastAsia="Arial Unicode MS"/>
        </w:rPr>
        <w:t>2.1 필드 의미와 허용 범주</w:t>
      </w:r>
    </w:p>
    <w:tbl>
      <w:tblPr>
        <w:tblW w:type="auto" w:w="0"/>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3326"/>
        <w:gridCol w:w="3326"/>
        <w:gridCol w:w="3326"/>
      </w:tblGrid>
      <w:tr>
        <w:trPr>
          <w:cantSplit/>
          <w:tblHeader w:val="true"/>
        </w:trPr>
        <w:tc>
          <w:tcPr>
            <w:tcW w:type="dxa" w:w="2200"/>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필드</w:t>
            </w:r>
          </w:p>
        </w:tc>
        <w:tc>
          <w:tcPr>
            <w:tcW w:type="dxa" w:w="3000"/>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의미</w:t>
            </w:r>
          </w:p>
        </w:tc>
        <w:tc>
          <w:tcPr>
            <w:tcW w:type="dxa" w:w="4778"/>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허용 범주</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Authority</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고객 의사결정권자의 권한 수준</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High, Low, Mid, Unknown</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Competitors</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경쟁사 존재·검토 여부</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No, Unknown, Yes</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Purch_dept</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고객사 구매부서 참여 여부</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No, Unknown, Yes</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Budgt_alloc</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고객 예산 확보·배정 여부</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No, Unknown, Yes</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Forml_tend</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공식 입찰 절차 여부</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No, Unknown, Yes</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RFP</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제안요청서 진행 여부</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No, Unknown, Yes</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Posit_statm</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고객의 명시적 구매 표현</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Neutral, No, Unknown, Yes</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Source</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영업기회 유입 경로</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Direct mail, Event, Joint past, Media, Online form, Other, Referral, Unknown</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Client</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고객과의 거래 관계</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Current, New, Past, Unknown</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Scope</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계약·수행 범위의 명확성</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Clear, Few questions, Low, Unknown</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Cross_sale</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기존 고객 대상 교차판매 여부</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No, Unknown, Yes</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Deal_type</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거래 유형</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Consulting, Maintenance, Project, Solution, Unknown</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Needs_def</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고객 요구사항의 정의 수준</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Info gathering, No, Poor, Unknown, Yes</w:t>
            </w:r>
          </w:p>
        </w:tc>
      </w:tr>
    </w:tbl>
    <w:p>
      <w:pPr>
        <w:pStyle w:val="Heading2"/>
        <w:keepNext/>
        <w:widowControl/>
      </w:pPr>
      <w:r>
        <w:rPr>
          <w:rFonts w:ascii="Arial Unicode MS" w:hAnsi="Arial Unicode MS" w:eastAsia="Arial Unicode MS"/>
        </w:rPr>
        <w:t>2.2 검증 규칙</w:t>
      </w:r>
    </w:p>
    <w:tbl>
      <w:tblPr>
        <w:tblW w:type="auto" w:w="0"/>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4989"/>
        <w:gridCol w:w="4989"/>
      </w:tblGrid>
      <w:tr>
        <w:trPr>
          <w:cantSplit/>
          <w:tblHeader w:val="true"/>
        </w:trPr>
        <w:tc>
          <w:tcPr>
            <w:tcW w:type="dxa" w:w="2600"/>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검증 항목</w:t>
            </w:r>
          </w:p>
        </w:tc>
        <w:tc>
          <w:tcPr>
            <w:tcW w:type="dxa" w:w="7378"/>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규칙</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필드</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요청은 13개 필드를 모두 포함한다.</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결측</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측정되지 않은 값과 빈값은 구조화 단계에서 문자열 Unknown으로 변환한다.</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범주</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허용 목록에 없는 범주는 입력 오류로 처리한다.</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스키마</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컬럼 이름과 순서를 저장된 모델 스키마와 대조한다.</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정답</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학습 정답은 Lost=0, Won=1로 매핑한다.</w:t>
            </w:r>
          </w:p>
        </w:tc>
      </w:tr>
    </w:tbl>
    <w:p>
      <w:pPr>
        <w:pStyle w:val="Heading1"/>
        <w:keepNext/>
        <w:widowControl/>
      </w:pPr>
      <w:r>
        <w:rPr>
          <w:rFonts w:ascii="Arial Unicode MS" w:hAnsi="Arial Unicode MS" w:eastAsia="Arial Unicode MS"/>
        </w:rPr>
        <w:t>3. 전처리 계약과 최적 파라미터</w:t>
      </w:r>
    </w:p>
    <w:p>
      <w:pPr>
        <w:widowControl/>
      </w:pPr>
      <w:r>
        <w:rPr>
          <w:rFonts w:ascii="Arial Unicode MS" w:hAnsi="Arial Unicode MS" w:eastAsia="Arial Unicode MS"/>
        </w:rPr>
        <w:t>모델 입력은 다음 순서로 정규화한다.</w:t>
      </w:r>
    </w:p>
    <w:p>
      <w:pPr>
        <w:ind w:left="360" w:hanging="360"/>
      </w:pPr>
      <w:r>
        <w:rPr>
          <w:rFonts w:ascii="Arial Unicode MS" w:hAnsi="Arial Unicode MS" w:eastAsia="Arial Unicode MS"/>
        </w:rPr>
        <w:t>1.  문자열 앞뒤 공백을 제거한다. 의미가 있는 값은 임의로 바꾸지 않는다.</w:t>
      </w:r>
    </w:p>
    <w:p>
      <w:pPr>
        <w:ind w:left="360" w:hanging="360"/>
      </w:pPr>
      <w:r>
        <w:rPr>
          <w:rFonts w:ascii="Arial Unicode MS" w:hAnsi="Arial Unicode MS" w:eastAsia="Arial Unicode MS"/>
        </w:rPr>
        <w:t>2.  빈값과 측정되지 않은 값은 No가 아닌 문자열 Unknown으로 변환한다.</w:t>
      </w:r>
    </w:p>
    <w:p>
      <w:pPr>
        <w:ind w:left="360" w:hanging="360"/>
      </w:pPr>
      <w:r>
        <w:rPr>
          <w:rFonts w:ascii="Arial Unicode MS" w:hAnsi="Arial Unicode MS" w:eastAsia="Arial Unicode MS"/>
        </w:rPr>
        <w:t>3.  13개 필드의 존재 여부, 순서, 허용 범주를 저장된 스키마와 대조한다.</w:t>
      </w:r>
    </w:p>
    <w:p>
      <w:pPr>
        <w:ind w:left="360" w:hanging="360"/>
      </w:pPr>
      <w:r>
        <w:rPr>
          <w:rFonts w:ascii="Arial Unicode MS" w:hAnsi="Arial Unicode MS" w:eastAsia="Arial Unicode MS"/>
        </w:rPr>
        <w:t>4.  LogisticRegression, MultinomialNB, ExtraTrees는 고정 범주 One-Hot Encoder로 39개 컬럼을 만든다.</w:t>
      </w:r>
    </w:p>
    <w:p>
      <w:pPr>
        <w:ind w:left="360" w:hanging="360"/>
      </w:pPr>
      <w:r>
        <w:rPr>
          <w:rFonts w:ascii="Arial Unicode MS" w:hAnsi="Arial Unicode MS" w:eastAsia="Arial Unicode MS"/>
        </w:rPr>
        <w:t>5.  CatBoost와 TabICL은 범주 정보를 보존하기 위해 원본 13개 범주형 컬럼을 직접 사용한다.</w:t>
      </w:r>
    </w:p>
    <w:p>
      <w:pPr>
        <w:widowControl/>
      </w:pPr>
      <w:r>
        <w:rPr>
          <w:rFonts w:ascii="Arial Unicode MS" w:hAnsi="Arial Unicode MS" w:eastAsia="Arial Unicode MS"/>
        </w:rPr>
        <w:t>학습 단계의 30% 마스킹은 값 누락에 대한 강건성을 확보하기 위한 데이터 증강이다. 실제 추론에서는 구조화 Agent가 확인하지 못한 필드만 Unknown으로 전달하며, 임의로 네 개를 다시 마스킹하지 않는다.</w:t>
      </w:r>
    </w:p>
    <w:tbl>
      <w:tblPr>
        <w:tblW w:type="auto" w:w="0"/>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4989"/>
        <w:gridCol w:w="4989"/>
      </w:tblGrid>
      <w:tr>
        <w:trPr>
          <w:cantSplit/>
          <w:tblHeader w:val="true"/>
        </w:trPr>
        <w:tc>
          <w:tcPr>
            <w:tcW w:type="dxa" w:w="2600"/>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모델</w:t>
            </w:r>
          </w:p>
        </w:tc>
        <w:tc>
          <w:tcPr>
            <w:tcW w:type="dxa" w:w="7378"/>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선택 파라미터</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LogisticRegression</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C=0.03, class_weight="balanced"</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MultinomialNB</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alpha=75.0, fit_prior=False</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ExtraTrees</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n_estimators=300, max_depth=8, max_features="sqrt", min_samples_leaf=6</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CatBoost</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iterations=200, depth=4, learning_rate=0.01, l2_leaf_reg=7.0, random_strength=0.5</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TabICL</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n_estimators=8, norm_methods="quantile", feat_shuffle_method="latin", average_logits=True, softmax_temperature=1.1</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Stacking meta</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LogisticRegression(C=0.1, max_iter=3000, solver="lbfgs")</w:t>
            </w:r>
          </w:p>
        </w:tc>
      </w:tr>
    </w:tbl>
    <w:p>
      <w:pPr>
        <w:pStyle w:val="Heading1"/>
        <w:keepNext/>
        <w:widowControl/>
      </w:pPr>
      <w:r>
        <w:rPr>
          <w:rFonts w:ascii="Arial Unicode MS" w:hAnsi="Arial Unicode MS" w:eastAsia="Arial Unicode MS"/>
        </w:rPr>
        <w:t>4. 학습 데이터와 성능 근거</w:t>
      </w:r>
    </w:p>
    <w:tbl>
      <w:tblPr>
        <w:tblW w:type="auto" w:w="0"/>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4989"/>
        <w:gridCol w:w="4989"/>
      </w:tblGrid>
      <w:tr>
        <w:trPr>
          <w:cantSplit/>
          <w:tblHeader w:val="true"/>
        </w:trPr>
        <w:tc>
          <w:tcPr>
            <w:tcW w:type="dxa" w:w="2600"/>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항목</w:t>
            </w:r>
          </w:p>
        </w:tc>
        <w:tc>
          <w:tcPr>
            <w:tcW w:type="dxa" w:w="7378"/>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값</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데이터 출처</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Salvirt B2B Sales Dataset, 실제 익명화 B2B 영업기회</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원본 파일 SHA-256</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8dee635b95bdcb00896b654efe62fc20177090081c81ef5224e8641ba31c3061</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원본</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448건, Lost 221 / Won 227</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평가 분할</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Train 313건 / Test 135건, 입력 그룹 분리</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마스킹</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행마다 13개 중 4개 Unknown, 서로 다른 10세트</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최종 재학습</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전체 448건 × 10세트 = 4,480행</w:t>
            </w:r>
          </w:p>
        </w:tc>
      </w:tr>
      <w:tr>
        <w:trPr>
          <w:cantSplit/>
        </w:trPr>
        <w:tc>
          <w:tcPr>
            <w:tcW w:type="dxa" w:w="26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최종 재학습 그룹</w:t>
            </w:r>
          </w:p>
        </w:tc>
        <w:tc>
          <w:tcPr>
            <w:tcW w:type="dxa" w:w="73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198개</w:t>
            </w:r>
          </w:p>
        </w:tc>
      </w:tr>
    </w:tbl>
    <w:tbl>
      <w:tblPr>
        <w:tblW w:type="auto" w:w="0"/>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3326"/>
        <w:gridCol w:w="3326"/>
        <w:gridCol w:w="3326"/>
      </w:tblGrid>
      <w:tr>
        <w:trPr>
          <w:cantSplit/>
          <w:tblHeader w:val="true"/>
        </w:trPr>
        <w:tc>
          <w:tcPr>
            <w:tcW w:type="dxa" w:w="2200"/>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지표</w:t>
            </w:r>
          </w:p>
        </w:tc>
        <w:tc>
          <w:tcPr>
            <w:tcW w:type="dxa" w:w="3000"/>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반복 Group CV</w:t>
            </w:r>
          </w:p>
        </w:tc>
        <w:tc>
          <w:tcPr>
            <w:tcW w:type="dxa" w:w="4778"/>
            <w:tcMar>
              <w:top w:w="70" w:type="dxa"/>
              <w:start w:w="100" w:type="dxa"/>
              <w:bottom w:w="70" w:type="dxa"/>
              <w:end w:w="100" w:type="dxa"/>
            </w:tcMar>
            <w:vAlign w:val="center"/>
            <w:shd w:fill="E8EEF5"/>
          </w:tcPr>
          <w:p>
            <w:pPr>
              <w:spacing w:before="0" w:after="0" w:line="240" w:lineRule="auto"/>
            </w:pPr>
            <w:r>
              <w:rPr>
                <w:rFonts w:ascii="Arial Unicode MS" w:hAnsi="Arial Unicode MS" w:eastAsia="Arial Unicode MS"/>
                <w:b/>
                <w:sz w:val="16"/>
              </w:rPr>
              <w:t>Test 10세트 평균</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Brier ↓</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0.194406 ± 0.001928</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0.179131 ± 0.005902</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ROC-AUC ↑</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0.766326</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0.817164</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Accuracy ↑</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0.720873</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0.734074</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Precision ↑</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0.695164</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0.720534</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Recall ↑</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0.802935</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0.772059</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F1 ↑</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0.745072</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0.745083</w:t>
            </w:r>
          </w:p>
        </w:tc>
      </w:tr>
      <w:tr>
        <w:trPr>
          <w:cantSplit/>
        </w:trPr>
        <w:tc>
          <w:tcPr>
            <w:tcW w:type="dxa" w:w="22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FP / FN</w:t>
            </w:r>
          </w:p>
        </w:tc>
        <w:tc>
          <w:tcPr>
            <w:tcW w:type="dxa" w:w="3000"/>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56.03 / 31.33</w:t>
            </w:r>
          </w:p>
        </w:tc>
        <w:tc>
          <w:tcPr>
            <w:tcW w:type="dxa" w:w="4778"/>
            <w:tcMar>
              <w:top w:w="70" w:type="dxa"/>
              <w:start w:w="100" w:type="dxa"/>
              <w:bottom w:w="70" w:type="dxa"/>
              <w:end w:w="100" w:type="dxa"/>
            </w:tcMar>
            <w:vAlign w:val="center"/>
          </w:tcPr>
          <w:p>
            <w:pPr>
              <w:spacing w:before="0" w:after="0" w:line="240" w:lineRule="auto"/>
            </w:pPr>
            <w:r>
              <w:rPr>
                <w:rFonts w:ascii="Arial Unicode MS" w:hAnsi="Arial Unicode MS" w:eastAsia="Arial Unicode MS"/>
                <w:sz w:val="16"/>
              </w:rPr>
              <w:t>20.4 / 15.5</w:t>
            </w:r>
          </w:p>
        </w:tc>
      </w:tr>
    </w:tbl>
    <w:p>
      <w:pPr>
        <w:widowControl/>
      </w:pPr>
      <w:r>
        <w:rPr>
          <w:rFonts w:ascii="Arial Unicode MS" w:hAnsi="Arial Unicode MS" w:eastAsia="Arial Unicode MS"/>
        </w:rPr>
        <w:t>보고 성능은 4단계의 분리 평가 결과다. 저장된 배포 모델은 모델 선택 이후 전체 448건으로 다시 학습했다.</w:t>
      </w:r>
    </w:p>
    <w:p>
      <w:pPr>
        <w:widowControl/>
      </w:pPr>
      <w:r>
        <w:rPr>
          <w:rFonts w:ascii="Arial Unicode MS" w:hAnsi="Arial Unicode MS" w:eastAsia="Arial Unicode MS"/>
        </w:rPr>
        <w:t>모델과 하이퍼파라미터는 Won 확률의 정확성을 평가하는 Brier Score를 기준으로 선택했다. ROC-AUC와 Accuracy·F1은 보조 지표로 확인했고, FP/FN은 분류 임계값 적용 후의 업무 위험을 확인하는 지표로 사용했다. 특히 FP가 발생하면 실제로는 추가 관리가 필요한 Lost 위험 거래가 쉽게 성사될 거래처럼 표시된다. 이로 인해 위험 신호와 개입 시점을 놓치고 파이프라인과 예상 매출을 실제보다 낙관적으로 평가할 수 있다. 현재 모델의 임계값은 0.50으로 확정했으며, FP/FN은 운영 모니터링 지표로 기록한다.</w:t>
      </w:r>
    </w:p>
    <w:p>
      <w:pPr>
        <w:pStyle w:val="Heading1"/>
      </w:pPr>
      <w:r>
        <w:rPr>
          <w:rFonts w:ascii="Arial Unicode MS" w:hAnsi="Arial Unicode MS" w:eastAsia="Arial Unicode MS"/>
          <w:b/>
          <w:color w:val="2E74B5"/>
          <w:sz w:val="30"/>
        </w:rPr>
        <w:t>5. 배포 아티팩트</w:t>
      </w:r>
    </w:p>
    <w:p>
      <w:pPr>
        <w:spacing w:after="80" w:line="269" w:lineRule="auto"/>
      </w:pPr>
      <w:r>
        <w:rPr>
          <w:rFonts w:ascii="Arial Unicode MS" w:hAnsi="Arial Unicode MS" w:eastAsia="Arial Unicode MS"/>
          <w:b w:val="0"/>
          <w:color w:val="18212B"/>
          <w:sz w:val="19"/>
        </w:rPr>
        <w:t>저장 위치:</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9978"/>
      </w:tblGrid>
      <w:tr>
        <w:trPr>
          <w:cantSplit/>
        </w:trPr>
        <w:tc>
          <w:tcPr>
            <w:tcW w:type="dxa" w:w="9978"/>
            <w:tcMar>
              <w:top w:w="65" w:type="dxa"/>
              <w:start w:w="100" w:type="dxa"/>
              <w:bottom w:w="65" w:type="dxa"/>
              <w:end w:w="100" w:type="dxa"/>
            </w:tcMar>
            <w:vAlign w:val="center"/>
            <w:shd w:fill="F2F4F7"/>
          </w:tcPr>
          <w:p>
            <w:pPr>
              <w:spacing w:before="20" w:after="20" w:line="240" w:lineRule="auto"/>
            </w:pPr>
            <w:r>
              <w:rPr>
                <w:rFonts w:ascii="Arial Unicode MS" w:hAnsi="Arial Unicode MS" w:eastAsia="Arial Unicode MS"/>
                <w:color w:val="18212B"/>
                <w:sz w:val="15"/>
              </w:rPr>
              <w:t>backend/pipeline/artifacts/</w:t>
            </w:r>
          </w:p>
        </w:tc>
      </w:tr>
    </w:tbl>
    <w:p>
      <w:pPr>
        <w:spacing w:after="20"/>
      </w:pP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900"/>
        <w:gridCol w:w="2359"/>
        <w:gridCol w:w="2359"/>
        <w:gridCol w:w="2360"/>
      </w:tblGrid>
      <w:tr>
        <w:trPr>
          <w:cantSplit/>
          <w:tblHeader w:val="true"/>
        </w:trPr>
        <w:tc>
          <w:tcPr>
            <w:tcW w:type="dxa" w:w="2900"/>
            <w:tcMar>
              <w:top w:w="65" w:type="dxa"/>
              <w:start w:w="100" w:type="dxa"/>
              <w:bottom w:w="65" w:type="dxa"/>
              <w:end w:w="100" w:type="dxa"/>
            </w:tcMar>
            <w:vAlign w:val="center"/>
            <w:shd w:fill="E8EEF5"/>
          </w:tcPr>
          <w:p>
            <w:pPr>
              <w:spacing w:before="0" w:after="0" w:line="240" w:lineRule="auto"/>
            </w:pPr>
            <w:r>
              <w:rPr>
                <w:rFonts w:ascii="Arial Unicode MS" w:hAnsi="Arial Unicode MS" w:eastAsia="Arial Unicode MS"/>
                <w:b/>
                <w:color w:val="1F4D78"/>
                <w:sz w:val="17"/>
              </w:rPr>
              <w:t>파일</w:t>
            </w:r>
          </w:p>
        </w:tc>
        <w:tc>
          <w:tcPr>
            <w:tcW w:type="dxa" w:w="2359"/>
            <w:tcMar>
              <w:top w:w="65" w:type="dxa"/>
              <w:start w:w="100" w:type="dxa"/>
              <w:bottom w:w="65" w:type="dxa"/>
              <w:end w:w="100" w:type="dxa"/>
            </w:tcMar>
            <w:vAlign w:val="center"/>
            <w:shd w:fill="E8EEF5"/>
          </w:tcPr>
          <w:p>
            <w:pPr>
              <w:spacing w:before="0" w:after="0" w:line="240" w:lineRule="auto"/>
            </w:pPr>
            <w:r>
              <w:rPr>
                <w:rFonts w:ascii="Arial Unicode MS" w:hAnsi="Arial Unicode MS" w:eastAsia="Arial Unicode MS"/>
                <w:b/>
                <w:color w:val="1F4D78"/>
                <w:sz w:val="17"/>
              </w:rPr>
              <w:t>역할</w:t>
            </w:r>
          </w:p>
        </w:tc>
        <w:tc>
          <w:tcPr>
            <w:tcW w:type="dxa" w:w="2359"/>
            <w:tcMar>
              <w:top w:w="65" w:type="dxa"/>
              <w:start w:w="100" w:type="dxa"/>
              <w:bottom w:w="65" w:type="dxa"/>
              <w:end w:w="100" w:type="dxa"/>
            </w:tcMar>
            <w:vAlign w:val="center"/>
            <w:shd w:fill="E8EEF5"/>
          </w:tcPr>
          <w:p>
            <w:pPr>
              <w:spacing w:before="0" w:after="0" w:line="240" w:lineRule="auto"/>
            </w:pPr>
            <w:r>
              <w:rPr>
                <w:rFonts w:ascii="Arial Unicode MS" w:hAnsi="Arial Unicode MS" w:eastAsia="Arial Unicode MS"/>
                <w:b/>
                <w:color w:val="1F4D78"/>
                <w:sz w:val="17"/>
              </w:rPr>
              <w:t>크기</w:t>
            </w:r>
          </w:p>
        </w:tc>
        <w:tc>
          <w:tcPr>
            <w:tcW w:type="dxa" w:w="2360"/>
            <w:tcMar>
              <w:top w:w="65" w:type="dxa"/>
              <w:start w:w="100" w:type="dxa"/>
              <w:bottom w:w="65" w:type="dxa"/>
              <w:end w:w="100" w:type="dxa"/>
            </w:tcMar>
            <w:vAlign w:val="center"/>
            <w:shd w:fill="E8EEF5"/>
          </w:tcPr>
          <w:p>
            <w:pPr>
              <w:spacing w:before="0" w:after="0" w:line="240" w:lineRule="auto"/>
            </w:pPr>
            <w:r>
              <w:rPr>
                <w:rFonts w:ascii="Arial Unicode MS" w:hAnsi="Arial Unicode MS" w:eastAsia="Arial Unicode MS"/>
                <w:b/>
                <w:color w:val="1F4D78"/>
                <w:sz w:val="17"/>
              </w:rPr>
              <w:t>SHA-256</w:t>
            </w:r>
          </w:p>
        </w:tc>
      </w:tr>
      <w:tr>
        <w:trPr>
          <w:cantSplit/>
        </w:trPr>
        <w:tc>
          <w:tcPr>
            <w:tcW w:type="dxa" w:w="290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color w:val="1F4D78"/>
                <w:sz w:val="16"/>
                <w:shd w:fill="F2F4F7"/>
              </w:rPr>
              <w:t>deal-stacking-lr-v1-models.joblib</w:t>
            </w:r>
          </w:p>
        </w:tc>
        <w:tc>
          <w:tcPr>
            <w:tcW w:type="dxa" w:w="2359"/>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LR·NB·ExtraTrees·CatBoost·Stacking 메타모델·입력 스키마</w:t>
            </w:r>
          </w:p>
        </w:tc>
        <w:tc>
          <w:tcPr>
            <w:tcW w:type="dxa" w:w="2359"/>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1,316,974 bytes</w:t>
            </w:r>
          </w:p>
        </w:tc>
        <w:tc>
          <w:tcPr>
            <w:tcW w:type="dxa" w:w="236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color w:val="1F4D78"/>
                <w:sz w:val="16"/>
                <w:shd w:fill="F2F4F7"/>
              </w:rPr>
              <w:t>97d363b2f3f628ea4b5f0a9fa3946bd420d94677172e6f09e5e7a4cecfdb8db5</w:t>
            </w:r>
          </w:p>
        </w:tc>
      </w:tr>
      <w:tr>
        <w:trPr>
          <w:cantSplit/>
        </w:trPr>
        <w:tc>
          <w:tcPr>
            <w:tcW w:type="dxa" w:w="290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color w:val="1F4D78"/>
                <w:sz w:val="16"/>
                <w:shd w:fill="F2F4F7"/>
              </w:rPr>
              <w:t>deal-stacking-lr-v1-tabicl.pkl</w:t>
            </w:r>
          </w:p>
        </w:tc>
        <w:tc>
          <w:tcPr>
            <w:tcW w:type="dxa" w:w="2359"/>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TabICL 가중치와 전체 학습 문맥</w:t>
            </w:r>
          </w:p>
        </w:tc>
        <w:tc>
          <w:tcPr>
            <w:tcW w:type="dxa" w:w="2359"/>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111,436,285 bytes</w:t>
            </w:r>
          </w:p>
        </w:tc>
        <w:tc>
          <w:tcPr>
            <w:tcW w:type="dxa" w:w="236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color w:val="1F4D78"/>
                <w:sz w:val="16"/>
                <w:shd w:fill="F2F4F7"/>
              </w:rPr>
              <w:t>6de049ae1fa14cd347fb2cc743014b7b7ede45a646b8aaeaa605ced461e0f90c</w:t>
            </w:r>
          </w:p>
        </w:tc>
      </w:tr>
      <w:tr>
        <w:trPr>
          <w:cantSplit/>
        </w:trPr>
        <w:tc>
          <w:tcPr>
            <w:tcW w:type="dxa" w:w="290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color w:val="1F4D78"/>
                <w:sz w:val="16"/>
                <w:shd w:fill="F2F4F7"/>
              </w:rPr>
              <w:t>deal-stacking-lr-v1.json</w:t>
            </w:r>
          </w:p>
        </w:tc>
        <w:tc>
          <w:tcPr>
            <w:tcW w:type="dxa" w:w="2359"/>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모델·스키마·평가·환경·해시·기준 확률 메타데이터</w:t>
            </w:r>
          </w:p>
        </w:tc>
        <w:tc>
          <w:tcPr>
            <w:tcW w:type="dxa" w:w="2359"/>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11,510 bytes</w:t>
            </w:r>
          </w:p>
        </w:tc>
        <w:tc>
          <w:tcPr>
            <w:tcW w:type="dxa" w:w="236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color w:val="1F4D78"/>
                <w:sz w:val="16"/>
                <w:shd w:fill="F2F4F7"/>
              </w:rPr>
              <w:t>46238930b660e8e7bd497fab0a25feabdea6801d52cc18f8793ad49593cbba8a</w:t>
            </w:r>
          </w:p>
        </w:tc>
      </w:tr>
    </w:tbl>
    <w:p>
      <w:pPr>
        <w:spacing w:after="20"/>
      </w:pPr>
    </w:p>
    <w:p>
      <w:pPr>
        <w:spacing w:after="80" w:line="269" w:lineRule="auto"/>
      </w:pPr>
      <w:r>
        <w:rPr>
          <w:rFonts w:ascii="Arial Unicode MS" w:hAnsi="Arial Unicode MS" w:eastAsia="Arial Unicode MS"/>
          <w:b w:val="0"/>
          <w:color w:val="18212B"/>
          <w:sz w:val="19"/>
        </w:rPr>
        <w:t>joblib과 pickle 계열 파일은 로드 과정에서 코드를 실행할 수 있다. 신뢰할 수 있는 릴리스의 파일만 사용하고 로드 전에 SHA-256을 확인한다.</w:t>
      </w:r>
    </w:p>
    <w:p>
      <w:pPr>
        <w:pStyle w:val="Heading1"/>
      </w:pPr>
      <w:r>
        <w:rPr>
          <w:rFonts w:ascii="Arial Unicode MS" w:hAnsi="Arial Unicode MS" w:eastAsia="Arial Unicode MS"/>
          <w:b/>
          <w:color w:val="2E74B5"/>
          <w:sz w:val="30"/>
        </w:rPr>
        <w:t>6. 저장·재로드 검증</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350"/>
        <w:gridCol w:w="7628"/>
      </w:tblGrid>
      <w:tr>
        <w:trPr>
          <w:cantSplit/>
          <w:tblHeader w:val="true"/>
        </w:trPr>
        <w:tc>
          <w:tcPr>
            <w:tcW w:type="dxa" w:w="2350"/>
            <w:tcMar>
              <w:top w:w="65" w:type="dxa"/>
              <w:start w:w="100" w:type="dxa"/>
              <w:bottom w:w="65" w:type="dxa"/>
              <w:end w:w="100" w:type="dxa"/>
            </w:tcMar>
            <w:vAlign w:val="center"/>
            <w:shd w:fill="E8EEF5"/>
          </w:tcPr>
          <w:p>
            <w:pPr>
              <w:spacing w:before="0" w:after="0" w:line="240" w:lineRule="auto"/>
            </w:pPr>
            <w:r>
              <w:rPr>
                <w:rFonts w:ascii="Arial Unicode MS" w:hAnsi="Arial Unicode MS" w:eastAsia="Arial Unicode MS"/>
                <w:b/>
                <w:color w:val="1F4D78"/>
                <w:sz w:val="17"/>
              </w:rPr>
              <w:t>검증 항목</w:t>
            </w:r>
          </w:p>
        </w:tc>
        <w:tc>
          <w:tcPr>
            <w:tcW w:type="dxa" w:w="7628"/>
            <w:tcMar>
              <w:top w:w="65" w:type="dxa"/>
              <w:start w:w="100" w:type="dxa"/>
              <w:bottom w:w="65" w:type="dxa"/>
              <w:end w:w="100" w:type="dxa"/>
            </w:tcMar>
            <w:vAlign w:val="center"/>
            <w:shd w:fill="E8EEF5"/>
          </w:tcPr>
          <w:p>
            <w:pPr>
              <w:spacing w:before="0" w:after="0" w:line="240" w:lineRule="auto"/>
            </w:pPr>
            <w:r>
              <w:rPr>
                <w:rFonts w:ascii="Arial Unicode MS" w:hAnsi="Arial Unicode MS" w:eastAsia="Arial Unicode MS"/>
                <w:b/>
                <w:color w:val="1F4D78"/>
                <w:sz w:val="17"/>
              </w:rPr>
              <w:t>결과</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현재 프로세스 재로드</w:t>
            </w:r>
          </w:p>
        </w:tc>
        <w:tc>
          <w:tcPr>
            <w:tcW w:type="dxa" w:w="7628"/>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통과</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현재 프로세스 최대 확률 차이</w:t>
            </w:r>
          </w:p>
        </w:tc>
        <w:tc>
          <w:tcPr>
            <w:tcW w:type="dxa" w:w="7628"/>
            <w:tcMar>
              <w:top w:w="65" w:type="dxa"/>
              <w:start w:w="100" w:type="dxa"/>
              <w:bottom w:w="65" w:type="dxa"/>
              <w:end w:w="100" w:type="dxa"/>
            </w:tcMar>
            <w:vAlign w:val="center"/>
            <w:shd w:fill="FAFBFC"/>
          </w:tcPr>
          <w:p>
            <w:pPr>
              <w:spacing w:before="0" w:after="0" w:line="240" w:lineRule="auto"/>
              <w:jc w:val="right"/>
            </w:pPr>
            <w:r>
              <w:rPr>
                <w:rFonts w:ascii="Arial Unicode MS" w:hAnsi="Arial Unicode MS" w:eastAsia="Arial Unicode MS"/>
                <w:color w:val="1F4D78"/>
                <w:sz w:val="16"/>
                <w:shd w:fill="F2F4F7"/>
              </w:rPr>
              <w:t>0</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새 CPU 프로세스 재로드</w:t>
            </w:r>
          </w:p>
        </w:tc>
        <w:tc>
          <w:tcPr>
            <w:tcW w:type="dxa" w:w="7628"/>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통과</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새 CPU 프로세스 최대 확률 차이</w:t>
            </w:r>
          </w:p>
        </w:tc>
        <w:tc>
          <w:tcPr>
            <w:tcW w:type="dxa" w:w="7628"/>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color w:val="1F4D78"/>
                <w:sz w:val="16"/>
                <w:shd w:fill="F2F4F7"/>
              </w:rPr>
              <w:t>1.0451534443456367e-06</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허용오차</w:t>
            </w:r>
          </w:p>
        </w:tc>
        <w:tc>
          <w:tcPr>
            <w:tcW w:type="dxa" w:w="7628"/>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color w:val="1F4D78"/>
                <w:sz w:val="16"/>
                <w:shd w:fill="F2F4F7"/>
              </w:rPr>
              <w:t>rtol=1e-5</w:t>
            </w:r>
            <w:r>
              <w:rPr>
                <w:rFonts w:ascii="Arial Unicode MS" w:hAnsi="Arial Unicode MS" w:eastAsia="Arial Unicode MS"/>
                <w:b w:val="0"/>
                <w:color w:val="18212B"/>
                <w:sz w:val="16"/>
              </w:rPr>
              <w:t xml:space="preserve">, </w:t>
            </w:r>
            <w:r>
              <w:rPr>
                <w:rFonts w:ascii="Arial Unicode MS" w:hAnsi="Arial Unicode MS" w:eastAsia="Arial Unicode MS"/>
                <w:color w:val="1F4D78"/>
                <w:sz w:val="16"/>
                <w:shd w:fill="F2F4F7"/>
              </w:rPr>
              <w:t>atol=1e-6</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모델 파일 SHA-256</w:t>
            </w:r>
          </w:p>
        </w:tc>
        <w:tc>
          <w:tcPr>
            <w:tcW w:type="dxa" w:w="7628"/>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메타데이터와 일치</w:t>
            </w:r>
          </w:p>
        </w:tc>
      </w:tr>
    </w:tbl>
    <w:p>
      <w:pPr>
        <w:spacing w:after="20"/>
      </w:pPr>
    </w:p>
    <w:p>
      <w:pPr>
        <w:spacing w:after="80" w:line="269" w:lineRule="auto"/>
      </w:pPr>
      <w:r>
        <w:rPr>
          <w:rFonts w:ascii="Arial Unicode MS" w:hAnsi="Arial Unicode MS" w:eastAsia="Arial Unicode MS"/>
          <w:b w:val="0"/>
          <w:color w:val="18212B"/>
          <w:sz w:val="19"/>
        </w:rPr>
        <w:t>재로드 검사는 메타데이터에 저장된 범주형 기준 입력 16건으로 수행했다.</w:t>
      </w:r>
    </w:p>
    <w:p>
      <w:pPr>
        <w:pStyle w:val="Heading1"/>
      </w:pPr>
      <w:r>
        <w:rPr>
          <w:rFonts w:ascii="Arial Unicode MS" w:hAnsi="Arial Unicode MS" w:eastAsia="Arial Unicode MS"/>
          <w:b/>
          <w:color w:val="2E74B5"/>
          <w:sz w:val="30"/>
        </w:rPr>
        <w:t>7. 재현 환경과 파일</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350"/>
        <w:gridCol w:w="7628"/>
      </w:tblGrid>
      <w:tr>
        <w:trPr>
          <w:cantSplit/>
          <w:tblHeader w:val="true"/>
        </w:trPr>
        <w:tc>
          <w:tcPr>
            <w:tcW w:type="dxa" w:w="2350"/>
            <w:tcMar>
              <w:top w:w="65" w:type="dxa"/>
              <w:start w:w="100" w:type="dxa"/>
              <w:bottom w:w="65" w:type="dxa"/>
              <w:end w:w="100" w:type="dxa"/>
            </w:tcMar>
            <w:vAlign w:val="center"/>
            <w:shd w:fill="E8EEF5"/>
          </w:tcPr>
          <w:p>
            <w:pPr>
              <w:spacing w:before="0" w:after="0" w:line="240" w:lineRule="auto"/>
            </w:pPr>
            <w:r>
              <w:rPr>
                <w:rFonts w:ascii="Arial Unicode MS" w:hAnsi="Arial Unicode MS" w:eastAsia="Arial Unicode MS"/>
                <w:b/>
                <w:color w:val="1F4D78"/>
                <w:sz w:val="17"/>
              </w:rPr>
              <w:t>패키지</w:t>
            </w:r>
          </w:p>
        </w:tc>
        <w:tc>
          <w:tcPr>
            <w:tcW w:type="dxa" w:w="7628"/>
            <w:tcMar>
              <w:top w:w="65" w:type="dxa"/>
              <w:start w:w="100" w:type="dxa"/>
              <w:bottom w:w="65" w:type="dxa"/>
              <w:end w:w="100" w:type="dxa"/>
            </w:tcMar>
            <w:vAlign w:val="center"/>
            <w:shd w:fill="E8EEF5"/>
          </w:tcPr>
          <w:p>
            <w:pPr>
              <w:spacing w:before="0" w:after="0" w:line="240" w:lineRule="auto"/>
            </w:pPr>
            <w:r>
              <w:rPr>
                <w:rFonts w:ascii="Arial Unicode MS" w:hAnsi="Arial Unicode MS" w:eastAsia="Arial Unicode MS"/>
                <w:b/>
                <w:color w:val="1F4D78"/>
                <w:sz w:val="17"/>
              </w:rPr>
              <w:t>버전</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Python</w:t>
            </w:r>
          </w:p>
        </w:tc>
        <w:tc>
          <w:tcPr>
            <w:tcW w:type="dxa" w:w="7628"/>
            <w:tcMar>
              <w:top w:w="65" w:type="dxa"/>
              <w:start w:w="100" w:type="dxa"/>
              <w:bottom w:w="65" w:type="dxa"/>
              <w:end w:w="100" w:type="dxa"/>
            </w:tcMar>
            <w:vAlign w:val="center"/>
          </w:tcPr>
          <w:p>
            <w:pPr>
              <w:spacing w:before="0" w:after="0" w:line="240" w:lineRule="auto"/>
              <w:jc w:val="right"/>
            </w:pPr>
            <w:r>
              <w:rPr>
                <w:rFonts w:ascii="Arial Unicode MS" w:hAnsi="Arial Unicode MS" w:eastAsia="Arial Unicode MS"/>
                <w:b w:val="0"/>
                <w:color w:val="18212B"/>
                <w:sz w:val="16"/>
              </w:rPr>
              <w:t>3.13.13</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pandas</w:t>
            </w:r>
          </w:p>
        </w:tc>
        <w:tc>
          <w:tcPr>
            <w:tcW w:type="dxa" w:w="7628"/>
            <w:tcMar>
              <w:top w:w="65" w:type="dxa"/>
              <w:start w:w="100" w:type="dxa"/>
              <w:bottom w:w="65" w:type="dxa"/>
              <w:end w:w="100" w:type="dxa"/>
            </w:tcMar>
            <w:vAlign w:val="center"/>
            <w:shd w:fill="FAFBFC"/>
          </w:tcPr>
          <w:p>
            <w:pPr>
              <w:spacing w:before="0" w:after="0" w:line="240" w:lineRule="auto"/>
              <w:jc w:val="right"/>
            </w:pPr>
            <w:r>
              <w:rPr>
                <w:rFonts w:ascii="Arial Unicode MS" w:hAnsi="Arial Unicode MS" w:eastAsia="Arial Unicode MS"/>
                <w:b w:val="0"/>
                <w:color w:val="18212B"/>
                <w:sz w:val="16"/>
              </w:rPr>
              <w:t>3.0.5</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scikit-learn</w:t>
            </w:r>
          </w:p>
        </w:tc>
        <w:tc>
          <w:tcPr>
            <w:tcW w:type="dxa" w:w="7628"/>
            <w:tcMar>
              <w:top w:w="65" w:type="dxa"/>
              <w:start w:w="100" w:type="dxa"/>
              <w:bottom w:w="65" w:type="dxa"/>
              <w:end w:w="100" w:type="dxa"/>
            </w:tcMar>
            <w:vAlign w:val="center"/>
          </w:tcPr>
          <w:p>
            <w:pPr>
              <w:spacing w:before="0" w:after="0" w:line="240" w:lineRule="auto"/>
              <w:jc w:val="right"/>
            </w:pPr>
            <w:r>
              <w:rPr>
                <w:rFonts w:ascii="Arial Unicode MS" w:hAnsi="Arial Unicode MS" w:eastAsia="Arial Unicode MS"/>
                <w:b w:val="0"/>
                <w:color w:val="18212B"/>
                <w:sz w:val="16"/>
              </w:rPr>
              <w:t>1.9.0</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CatBoost</w:t>
            </w:r>
          </w:p>
        </w:tc>
        <w:tc>
          <w:tcPr>
            <w:tcW w:type="dxa" w:w="7628"/>
            <w:tcMar>
              <w:top w:w="65" w:type="dxa"/>
              <w:start w:w="100" w:type="dxa"/>
              <w:bottom w:w="65" w:type="dxa"/>
              <w:end w:w="100" w:type="dxa"/>
            </w:tcMar>
            <w:vAlign w:val="center"/>
            <w:shd w:fill="FAFBFC"/>
          </w:tcPr>
          <w:p>
            <w:pPr>
              <w:spacing w:before="0" w:after="0" w:line="240" w:lineRule="auto"/>
              <w:jc w:val="right"/>
            </w:pPr>
            <w:r>
              <w:rPr>
                <w:rFonts w:ascii="Arial Unicode MS" w:hAnsi="Arial Unicode MS" w:eastAsia="Arial Unicode MS"/>
                <w:b w:val="0"/>
                <w:color w:val="18212B"/>
                <w:sz w:val="16"/>
              </w:rPr>
              <w:t>1.2.10</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TabICL</w:t>
            </w:r>
          </w:p>
        </w:tc>
        <w:tc>
          <w:tcPr>
            <w:tcW w:type="dxa" w:w="7628"/>
            <w:tcMar>
              <w:top w:w="65" w:type="dxa"/>
              <w:start w:w="100" w:type="dxa"/>
              <w:bottom w:w="65" w:type="dxa"/>
              <w:end w:w="100" w:type="dxa"/>
            </w:tcMar>
            <w:vAlign w:val="center"/>
          </w:tcPr>
          <w:p>
            <w:pPr>
              <w:spacing w:before="0" w:after="0" w:line="240" w:lineRule="auto"/>
              <w:jc w:val="right"/>
            </w:pPr>
            <w:r>
              <w:rPr>
                <w:rFonts w:ascii="Arial Unicode MS" w:hAnsi="Arial Unicode MS" w:eastAsia="Arial Unicode MS"/>
                <w:b w:val="0"/>
                <w:color w:val="18212B"/>
                <w:sz w:val="16"/>
              </w:rPr>
              <w:t>2.1.1</w:t>
            </w:r>
          </w:p>
        </w:tc>
      </w:tr>
      <w:tr>
        <w:trPr>
          <w:cantSplit/>
        </w:trPr>
        <w:tc>
          <w:tcPr>
            <w:tcW w:type="dxa" w:w="2350"/>
            <w:tcMar>
              <w:top w:w="65" w:type="dxa"/>
              <w:start w:w="100" w:type="dxa"/>
              <w:bottom w:w="65" w:type="dxa"/>
              <w:end w:w="100" w:type="dxa"/>
            </w:tcMar>
            <w:vAlign w:val="center"/>
            <w:shd w:fill="FAFBFC"/>
          </w:tcPr>
          <w:p>
            <w:pPr>
              <w:spacing w:before="0" w:after="0" w:line="240" w:lineRule="auto"/>
              <w:jc w:val="left"/>
            </w:pPr>
            <w:r>
              <w:rPr>
                <w:rFonts w:ascii="Arial Unicode MS" w:hAnsi="Arial Unicode MS" w:eastAsia="Arial Unicode MS"/>
                <w:b w:val="0"/>
                <w:color w:val="18212B"/>
                <w:sz w:val="16"/>
              </w:rPr>
              <w:t>PyTorch</w:t>
            </w:r>
          </w:p>
        </w:tc>
        <w:tc>
          <w:tcPr>
            <w:tcW w:type="dxa" w:w="7628"/>
            <w:tcMar>
              <w:top w:w="65" w:type="dxa"/>
              <w:start w:w="100" w:type="dxa"/>
              <w:bottom w:w="65" w:type="dxa"/>
              <w:end w:w="100" w:type="dxa"/>
            </w:tcMar>
            <w:vAlign w:val="center"/>
            <w:shd w:fill="FAFBFC"/>
          </w:tcPr>
          <w:p>
            <w:pPr>
              <w:spacing w:before="0" w:after="0" w:line="240" w:lineRule="auto"/>
              <w:jc w:val="right"/>
            </w:pPr>
            <w:r>
              <w:rPr>
                <w:rFonts w:ascii="Arial Unicode MS" w:hAnsi="Arial Unicode MS" w:eastAsia="Arial Unicode MS"/>
                <w:b w:val="0"/>
                <w:color w:val="18212B"/>
                <w:sz w:val="16"/>
              </w:rPr>
              <w:t>2.13.0</w:t>
            </w:r>
          </w:p>
        </w:tc>
      </w:tr>
      <w:tr>
        <w:trPr>
          <w:cantSplit/>
        </w:trPr>
        <w:tc>
          <w:tcPr>
            <w:tcW w:type="dxa" w:w="2350"/>
            <w:tcMar>
              <w:top w:w="65" w:type="dxa"/>
              <w:start w:w="100" w:type="dxa"/>
              <w:bottom w:w="65" w:type="dxa"/>
              <w:end w:w="100" w:type="dxa"/>
            </w:tcMar>
            <w:vAlign w:val="center"/>
          </w:tcPr>
          <w:p>
            <w:pPr>
              <w:spacing w:before="0" w:after="0" w:line="240" w:lineRule="auto"/>
              <w:jc w:val="left"/>
            </w:pPr>
            <w:r>
              <w:rPr>
                <w:rFonts w:ascii="Arial Unicode MS" w:hAnsi="Arial Unicode MS" w:eastAsia="Arial Unicode MS"/>
                <w:b w:val="0"/>
                <w:color w:val="18212B"/>
                <w:sz w:val="16"/>
              </w:rPr>
              <w:t>joblib</w:t>
            </w:r>
          </w:p>
        </w:tc>
        <w:tc>
          <w:tcPr>
            <w:tcW w:type="dxa" w:w="7628"/>
            <w:tcMar>
              <w:top w:w="65" w:type="dxa"/>
              <w:start w:w="100" w:type="dxa"/>
              <w:bottom w:w="65" w:type="dxa"/>
              <w:end w:w="100" w:type="dxa"/>
            </w:tcMar>
            <w:vAlign w:val="center"/>
          </w:tcPr>
          <w:p>
            <w:pPr>
              <w:spacing w:before="0" w:after="0" w:line="240" w:lineRule="auto"/>
              <w:jc w:val="right"/>
            </w:pPr>
            <w:r>
              <w:rPr>
                <w:rFonts w:ascii="Arial Unicode MS" w:hAnsi="Arial Unicode MS" w:eastAsia="Arial Unicode MS"/>
                <w:b w:val="0"/>
                <w:color w:val="18212B"/>
                <w:sz w:val="16"/>
              </w:rPr>
              <w:t>1.5.3</w:t>
            </w:r>
          </w:p>
        </w:tc>
      </w:tr>
    </w:tbl>
    <w:p>
      <w:pPr>
        <w:spacing w:after="20"/>
      </w:pP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9978"/>
      </w:tblGrid>
      <w:tr>
        <w:trPr>
          <w:cantSplit/>
        </w:trPr>
        <w:tc>
          <w:tcPr>
            <w:tcW w:type="dxa" w:w="9978"/>
            <w:tcMar>
              <w:top w:w="65" w:type="dxa"/>
              <w:start w:w="100" w:type="dxa"/>
              <w:bottom w:w="65" w:type="dxa"/>
              <w:end w:w="100" w:type="dxa"/>
            </w:tcMar>
            <w:vAlign w:val="center"/>
            <w:shd w:fill="F2F4F7"/>
          </w:tcPr>
          <w:p>
            <w:pPr>
              <w:spacing w:before="20" w:after="20" w:line="240" w:lineRule="auto"/>
            </w:pPr>
            <w:r>
              <w:rPr>
                <w:rFonts w:ascii="Arial Unicode MS" w:hAnsi="Arial Unicode MS" w:eastAsia="Arial Unicode MS"/>
                <w:color w:val="18212B"/>
                <w:sz w:val="15"/>
              </w:rPr>
              <w:t>backend/notebooks/deal_data_preprocessing.ipynb</w:t>
              <w:br/>
              <w:t>backend/notebooks/deal_model_phase2.ipynb</w:t>
              <w:br/>
              <w:t>backend/notebooks/deal_model_phase3.ipynb</w:t>
              <w:br/>
              <w:t>backend/notebooks/deal_model_phase4.ipynb</w:t>
              <w:br/>
              <w:t>backend/notebooks/deal_model_phase5_threshold.ipynb</w:t>
              <w:br/>
              <w:t>backend/notebooks/deal_model_finalization.ipynb</w:t>
              <w:br/>
              <w:t>backend/notebooks/pyproject.toml</w:t>
              <w:br/>
              <w:t>backend/notebooks/uv.lock</w:t>
            </w:r>
          </w:p>
        </w:tc>
      </w:tr>
    </w:tbl>
    <w:p>
      <w:pPr>
        <w:spacing w:after="20"/>
      </w:pPr>
    </w:p>
    <w:p>
      <w:pPr>
        <w:spacing w:after="80" w:line="269" w:lineRule="auto"/>
      </w:pPr>
      <w:r>
        <w:rPr>
          <w:rFonts w:ascii="Arial Unicode MS" w:hAnsi="Arial Unicode MS" w:eastAsia="Arial Unicode MS"/>
          <w:b w:val="0"/>
          <w:color w:val="18212B"/>
          <w:sz w:val="19"/>
        </w:rPr>
        <w:t>TabICL 최종 학습에는 MPS를 사용했고 새 프로세스 검증에는 CPU를 사용했다.</w:t>
      </w:r>
    </w:p>
    <w:p>
      <w:pPr>
        <w:pStyle w:val="Heading1"/>
      </w:pPr>
      <w:r>
        <w:rPr>
          <w:rFonts w:ascii="Arial Unicode MS" w:hAnsi="Arial Unicode MS" w:eastAsia="Arial Unicode MS"/>
          <w:b/>
          <w:color w:val="2E74B5"/>
          <w:sz w:val="30"/>
        </w:rPr>
        <w:t>8. 백엔드 연결 체크리스트</w:t>
      </w:r>
    </w:p>
    <w:p>
      <w:pPr>
        <w:spacing w:after="50" w:line="259" w:lineRule="auto"/>
        <w:ind w:left="312" w:hanging="227"/>
      </w:pPr>
      <w:r>
        <w:rPr>
          <w:rFonts w:ascii="Arial Unicode MS" w:hAnsi="Arial Unicode MS" w:eastAsia="Arial Unicode MS"/>
          <w:b/>
          <w:color w:val="2E74B5"/>
          <w:sz w:val="18"/>
        </w:rPr>
        <w:t xml:space="preserve">☐ </w:t>
      </w:r>
      <w:r>
        <w:rPr>
          <w:rFonts w:ascii="Arial Unicode MS" w:hAnsi="Arial Unicode MS" w:eastAsia="Arial Unicode MS"/>
          <w:b w:val="0"/>
          <w:color w:val="18212B"/>
          <w:sz w:val="18"/>
        </w:rPr>
        <w:t>모델 파일 3개를 동일 버전으로 배포</w:t>
      </w:r>
    </w:p>
    <w:p>
      <w:pPr>
        <w:spacing w:after="50" w:line="259" w:lineRule="auto"/>
        <w:ind w:left="312" w:hanging="227"/>
      </w:pPr>
      <w:r>
        <w:rPr>
          <w:rFonts w:ascii="Arial Unicode MS" w:hAnsi="Arial Unicode MS" w:eastAsia="Arial Unicode MS"/>
          <w:b/>
          <w:color w:val="2E74B5"/>
          <w:sz w:val="18"/>
        </w:rPr>
        <w:t xml:space="preserve">☐ </w:t>
      </w:r>
      <w:r>
        <w:rPr>
          <w:rFonts w:ascii="Arial Unicode MS" w:hAnsi="Arial Unicode MS" w:eastAsia="Arial Unicode MS"/>
          <w:b w:val="0"/>
          <w:color w:val="18212B"/>
          <w:sz w:val="18"/>
        </w:rPr>
        <w:t>프로세스 시작 시 SHA-256 검증 후 한 번 로드</w:t>
      </w:r>
    </w:p>
    <w:p>
      <w:pPr>
        <w:spacing w:after="50" w:line="259" w:lineRule="auto"/>
        <w:ind w:left="312" w:hanging="227"/>
      </w:pPr>
      <w:r>
        <w:rPr>
          <w:rFonts w:ascii="Arial Unicode MS" w:hAnsi="Arial Unicode MS" w:eastAsia="Arial Unicode MS"/>
          <w:b/>
          <w:color w:val="2E74B5"/>
          <w:sz w:val="18"/>
        </w:rPr>
        <w:t xml:space="preserve">☐ </w:t>
      </w:r>
      <w:r>
        <w:rPr>
          <w:rFonts w:ascii="Arial Unicode MS" w:hAnsi="Arial Unicode MS" w:eastAsia="Arial Unicode MS"/>
          <w:b w:val="0"/>
          <w:color w:val="18212B"/>
          <w:sz w:val="18"/>
        </w:rPr>
        <w:t>13개 필드·허용 범주·컬럼 순서 검증</w:t>
      </w:r>
    </w:p>
    <w:p>
      <w:pPr>
        <w:spacing w:after="50" w:line="259" w:lineRule="auto"/>
        <w:ind w:left="312" w:hanging="227"/>
      </w:pPr>
      <w:r>
        <w:rPr>
          <w:rFonts w:ascii="Arial Unicode MS" w:hAnsi="Arial Unicode MS" w:eastAsia="Arial Unicode MS"/>
          <w:b/>
          <w:color w:val="2E74B5"/>
          <w:sz w:val="18"/>
        </w:rPr>
        <w:t xml:space="preserve">☐ </w:t>
      </w:r>
      <w:r>
        <w:rPr>
          <w:rFonts w:ascii="Arial Unicode MS" w:hAnsi="Arial Unicode MS" w:eastAsia="Arial Unicode MS"/>
          <w:b w:val="0"/>
          <w:color w:val="18212B"/>
          <w:sz w:val="18"/>
        </w:rPr>
        <w:t xml:space="preserve">빈값을 </w:t>
      </w:r>
      <w:r>
        <w:rPr>
          <w:rFonts w:ascii="Arial Unicode MS" w:hAnsi="Arial Unicode MS" w:eastAsia="Arial Unicode MS"/>
          <w:color w:val="1F4D78"/>
          <w:sz w:val="17"/>
          <w:shd w:fill="F2F4F7"/>
        </w:rPr>
        <w:t>Unknown</w:t>
      </w:r>
      <w:r>
        <w:rPr>
          <w:rFonts w:ascii="Arial Unicode MS" w:hAnsi="Arial Unicode MS" w:eastAsia="Arial Unicode MS"/>
          <w:b w:val="0"/>
          <w:color w:val="18212B"/>
          <w:sz w:val="18"/>
        </w:rPr>
        <w:t>으로 정규화</w:t>
      </w:r>
    </w:p>
    <w:p>
      <w:pPr>
        <w:spacing w:after="50" w:line="259" w:lineRule="auto"/>
        <w:ind w:left="312" w:hanging="227"/>
      </w:pPr>
      <w:r>
        <w:rPr>
          <w:rFonts w:ascii="Arial Unicode MS" w:hAnsi="Arial Unicode MS" w:eastAsia="Arial Unicode MS"/>
          <w:b/>
          <w:color w:val="2E74B5"/>
          <w:sz w:val="18"/>
        </w:rPr>
        <w:t xml:space="preserve">☐ </w:t>
      </w:r>
      <w:r>
        <w:rPr>
          <w:rFonts w:ascii="Arial Unicode MS" w:hAnsi="Arial Unicode MS" w:eastAsia="Arial Unicode MS"/>
          <w:b w:val="0"/>
          <w:color w:val="18212B"/>
          <w:sz w:val="18"/>
        </w:rPr>
        <w:t>다섯 기본 확률을 메타모델 입력 순서대로 결합</w:t>
      </w:r>
    </w:p>
    <w:p>
      <w:pPr>
        <w:spacing w:after="50" w:line="259" w:lineRule="auto"/>
        <w:ind w:left="312" w:hanging="227"/>
      </w:pPr>
      <w:r>
        <w:rPr>
          <w:rFonts w:ascii="Arial Unicode MS" w:hAnsi="Arial Unicode MS" w:eastAsia="Arial Unicode MS"/>
          <w:b/>
          <w:color w:val="2E74B5"/>
          <w:sz w:val="18"/>
        </w:rPr>
        <w:t xml:space="preserve">☐ </w:t>
      </w:r>
      <w:r>
        <w:rPr>
          <w:rFonts w:ascii="Arial Unicode MS" w:hAnsi="Arial Unicode MS" w:eastAsia="Arial Unicode MS"/>
          <w:b w:val="0"/>
          <w:color w:val="18212B"/>
          <w:sz w:val="18"/>
        </w:rPr>
        <w:t xml:space="preserve">응답에 </w:t>
      </w:r>
      <w:r>
        <w:rPr>
          <w:rFonts w:ascii="Arial Unicode MS" w:hAnsi="Arial Unicode MS" w:eastAsia="Arial Unicode MS"/>
          <w:color w:val="1F4D78"/>
          <w:sz w:val="17"/>
          <w:shd w:fill="F2F4F7"/>
        </w:rPr>
        <w:t>won_probability</w:t>
      </w:r>
      <w:r>
        <w:rPr>
          <w:rFonts w:ascii="Arial Unicode MS" w:hAnsi="Arial Unicode MS" w:eastAsia="Arial Unicode MS"/>
          <w:b w:val="0"/>
          <w:color w:val="18212B"/>
          <w:sz w:val="18"/>
        </w:rPr>
        <w:t xml:space="preserve">, </w:t>
      </w:r>
      <w:r>
        <w:rPr>
          <w:rFonts w:ascii="Arial Unicode MS" w:hAnsi="Arial Unicode MS" w:eastAsia="Arial Unicode MS"/>
          <w:color w:val="1F4D78"/>
          <w:sz w:val="17"/>
          <w:shd w:fill="F2F4F7"/>
        </w:rPr>
        <w:t>predicted_class</w:t>
      </w:r>
      <w:r>
        <w:rPr>
          <w:rFonts w:ascii="Arial Unicode MS" w:hAnsi="Arial Unicode MS" w:eastAsia="Arial Unicode MS"/>
          <w:b w:val="0"/>
          <w:color w:val="18212B"/>
          <w:sz w:val="18"/>
        </w:rPr>
        <w:t xml:space="preserve">, </w:t>
      </w:r>
      <w:r>
        <w:rPr>
          <w:rFonts w:ascii="Arial Unicode MS" w:hAnsi="Arial Unicode MS" w:eastAsia="Arial Unicode MS"/>
          <w:color w:val="1F4D78"/>
          <w:sz w:val="17"/>
          <w:shd w:fill="F2F4F7"/>
        </w:rPr>
        <w:t>model_version</w:t>
      </w:r>
      <w:r>
        <w:rPr>
          <w:rFonts w:ascii="Arial Unicode MS" w:hAnsi="Arial Unicode MS" w:eastAsia="Arial Unicode MS"/>
          <w:b w:val="0"/>
          <w:color w:val="18212B"/>
          <w:sz w:val="18"/>
        </w:rPr>
        <w:t xml:space="preserve"> 포함</w:t>
      </w:r>
    </w:p>
    <w:p>
      <w:pPr>
        <w:spacing w:after="50" w:line="259" w:lineRule="auto"/>
        <w:ind w:left="312" w:hanging="227"/>
      </w:pPr>
      <w:r>
        <w:rPr>
          <w:rFonts w:ascii="Arial Unicode MS" w:hAnsi="Arial Unicode MS" w:eastAsia="Arial Unicode MS"/>
          <w:b/>
          <w:color w:val="2E74B5"/>
          <w:sz w:val="18"/>
        </w:rPr>
        <w:t xml:space="preserve">☐ </w:t>
      </w:r>
      <w:r>
        <w:rPr>
          <w:rFonts w:ascii="Arial Unicode MS" w:hAnsi="Arial Unicode MS" w:eastAsia="Arial Unicode MS"/>
          <w:b w:val="0"/>
          <w:color w:val="18212B"/>
          <w:sz w:val="18"/>
        </w:rPr>
        <w:t>추론 지연시간과 오류 로그 기록</w:t>
      </w:r>
    </w:p>
    <w:p>
      <w:pPr>
        <w:spacing w:after="50" w:line="259" w:lineRule="auto"/>
        <w:ind w:left="312" w:hanging="227"/>
      </w:pPr>
      <w:r>
        <w:rPr>
          <w:rFonts w:ascii="Arial Unicode MS" w:hAnsi="Arial Unicode MS" w:eastAsia="Arial Unicode MS"/>
          <w:b/>
          <w:color w:val="2E74B5"/>
          <w:sz w:val="18"/>
        </w:rPr>
        <w:t xml:space="preserve">☐ </w:t>
      </w:r>
      <w:r>
        <w:rPr>
          <w:rFonts w:ascii="Arial Unicode MS" w:hAnsi="Arial Unicode MS" w:eastAsia="Arial Unicode MS"/>
          <w:b w:val="0"/>
          <w:color w:val="18212B"/>
          <w:sz w:val="18"/>
        </w:rPr>
        <w:t>실제 승패 확정 후 결측률·확률 품질·FP/FN 모니터링</w:t>
      </w:r>
    </w:p>
    <w:sectPr w:rsidR="00FC693F" w:rsidRPr="0006063C" w:rsidSect="00034616">
      <w:headerReference w:type="default" r:id="rId9"/>
      <w:footerReference w:type="default" r:id="rId10"/>
      <w:pgSz w:w="11906" w:h="16838"/>
      <w:pgMar w:top="964" w:right="964" w:bottom="113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Unicode MS" w:hAnsi="Arial Unicode MS" w:eastAsia="Arial Unicode MS"/>
        <w:color w:val="667085"/>
        <w:sz w:val="16"/>
      </w:rPr>
      <w:t xml:space="preserve">Page </w:t>
    </w:r>
    <w:fldSimple w:instr="PAGE">
      <w:r>
        <w:rPr>
          <w:rFonts w:ascii="Arial Unicode MS" w:hAnsi="Arial Unicode MS" w:eastAsia="Arial Unicode MS"/>
          <w:color w:val="667085"/>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Unicode MS" w:hAnsi="Arial Unicode MS" w:eastAsia="Arial Unicode MS"/>
        <w:b/>
        <w:color w:val="667085"/>
        <w:sz w:val="16"/>
      </w:rPr>
      <w:t>SalesLuv  |  ML/DL 모델 산출물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Arial Unicode MS" w:hAnsi="Arial Unicode MS" w:eastAsia="Arial Unicode MS"/>
      <w:color w:val="18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Unicode MS" w:hAnsi="Arial Unicode MS" w:eastAsia="Arial Unicode MS"/>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Unicode MS" w:hAnsi="Arial Unicode MS" w:eastAsia="Arial Unicode MS"/>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학습한 ML/DL 모델 산출물</dc:title>
  <dc:subject>SalesLuv B2B deal win probability model</dc:subject>
  <dc:creator>SalesLuv</dc:creator>
  <cp:keywords/>
  <dc:description>generated by python-docx</dc:description>
  <cp:lastModifiedBy/>
  <cp:revision>1</cp:revision>
  <dcterms:created xsi:type="dcterms:W3CDTF">2013-12-23T23:15:00Z</dcterms:created>
  <dcterms:modified xsi:type="dcterms:W3CDTF">2013-12-23T23:15:00Z</dcterms:modified>
  <cp:category/>
</cp:coreProperties>
</file>