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br/>
        <w:br/>
        <w:br/>
        <w:t xml:space="preserve"/>
      </w:r>
    </w:p>
    <w:p>
      <w:pPr>
        <w:jc w:val="center"/>
      </w:pPr>
      <w:r>
        <w:rPr>
          <w:b/>
          <w:bCs/>
          <w:color w:val="3B0DC9"/>
          <w:sz w:val="72"/>
          <w:szCs w:val="72"/>
        </w:rPr>
        <w:t xml:space="preserve">SWOT RISK</w:t>
      </w:r>
    </w:p>
    <w:p>
      <w:pPr>
        <w:spacing w:after="400"/>
        <w:jc w:val="center"/>
      </w:pPr>
      <w:r>
        <w:rPr>
          <w:i/>
          <w:iCs/>
          <w:color w:val="555555"/>
          <w:sz w:val="32"/>
          <w:szCs w:val="32"/>
        </w:rPr>
        <w:t xml:space="preserve">Enterprise Edition</w:t>
      </w:r>
    </w:p>
    <w:p>
      <w:pPr>
        <w:jc w:val="center"/>
      </w:pPr>
      <w:r>
        <w:rPr>
          <w:b/>
          <w:bCs/>
          <w:color w:val="222222"/>
          <w:sz w:val="52"/>
          <w:szCs w:val="52"/>
        </w:rPr>
        <w:t xml:space="preserve">GRC Platform Walkthrough</w:t>
      </w:r>
    </w:p>
    <w:p>
      <w:pPr>
        <w:spacing w:after="600"/>
        <w:jc w:val="center"/>
      </w:pPr>
      <w:r>
        <w:rPr>
          <w:color w:val="666666"/>
          <w:sz w:val="30"/>
          <w:szCs w:val="30"/>
        </w:rPr>
        <w:t xml:space="preserve">Risk Management &amp; SOC 2 Alignment</w:t>
      </w:r>
    </w:p>
    <w:p>
      <w:pPr>
        <w:jc w:val="center"/>
      </w:pPr>
      <w:r>
        <w:rPr>
          <w:color w:val="888888"/>
          <w:sz w:val="20"/>
          <w:szCs w:val="20"/>
        </w:rPr>
        <w:t xml:space="preserve">Prepared: February 2026  |  Classification: Confidential</w:t>
      </w:r>
    </w:p>
    <w:p>
      <w:r>
        <w:br w:type="page"/>
      </w:r>
    </w:p>
    <w:p>
      <w:pPr>
        <w:pStyle w:val="Heading1"/>
        <w:spacing w:before="400" w:after="200"/>
      </w:pPr>
      <w:r>
        <w:t xml:space="preserve">1. Introduction</w:t>
      </w:r>
    </w:p>
    <w:p>
      <w:pPr>
        <w:pStyle w:val="Heading2"/>
        <w:spacing w:before="300" w:after="150"/>
      </w:pPr>
      <w:r>
        <w:t xml:space="preserve">Purpose of the Application</w:t>
      </w:r>
    </w:p>
    <w:p>
      <w:pPr>
        <w:spacing w:after="150"/>
      </w:pPr>
      <w:r>
        <w:rPr>
          <w:sz w:val="22"/>
          <w:szCs w:val="22"/>
        </w:rPr>
        <w:t xml:space="preserve">The SWOT Risk Management platform is a comprehensive Governance, Risk, and Compliance (GRC) solution designed to centralize and automate the lifecycle of risk management. It provides a single source of truth for identifying, assessing, mitigating, and monitoring organizational risks while ensuring transparency and accountability.</w:t>
      </w:r>
    </w:p>
    <w:p>
      <w:pPr>
        <w:pStyle w:val="Heading2"/>
        <w:spacing w:before="300" w:after="150"/>
      </w:pPr>
      <w:r>
        <w:t xml:space="preserve">Target Users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Security &amp; Compliance Teams:</w:t>
      </w:r>
      <w:r>
        <w:rPr>
          <w:sz w:val="22"/>
          <w:szCs w:val="22"/>
        </w:rPr>
        <w:t xml:space="preserve"> To manage SOC 2 controls, evidence, and risk registers.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Risk Managers:</w:t>
      </w:r>
      <w:r>
        <w:rPr>
          <w:sz w:val="22"/>
          <w:szCs w:val="22"/>
        </w:rPr>
        <w:t xml:space="preserve"> To oversee the risk landscape and coordinate mitigation efforts.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IT &amp; Operations:</w:t>
      </w:r>
      <w:r>
        <w:rPr>
          <w:sz w:val="22"/>
          <w:szCs w:val="22"/>
        </w:rPr>
        <w:t xml:space="preserve"> To implement technical controls and respond to incidents.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Management &amp; Executive Board:</w:t>
      </w:r>
      <w:r>
        <w:rPr>
          <w:sz w:val="22"/>
          <w:szCs w:val="22"/>
        </w:rPr>
        <w:t xml:space="preserve"> To gain high-level visibility for strategic decision-making.</w:t>
      </w:r>
    </w:p>
    <w:p>
      <w:pPr>
        <w:pStyle w:val="Heading2"/>
        <w:spacing w:before="300" w:after="150"/>
      </w:pPr>
      <w:r>
        <w:t xml:space="preserve">GRC Pillars Supported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Risk Governance:</w:t>
      </w:r>
      <w:r>
        <w:rPr>
          <w:sz w:val="22"/>
          <w:szCs w:val="22"/>
        </w:rPr>
        <w:t xml:space="preserve"> Standardized methodologies for risk identification and scoring.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Control Oversight:</w:t>
      </w:r>
      <w:r>
        <w:rPr>
          <w:sz w:val="22"/>
          <w:szCs w:val="22"/>
        </w:rPr>
        <w:t xml:space="preserve"> Systematic tracking of Control Library effectiveness.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Continuous Monitoring:</w:t>
      </w:r>
      <w:r>
        <w:rPr>
          <w:sz w:val="22"/>
          <w:szCs w:val="22"/>
        </w:rPr>
        <w:t xml:space="preserve"> Real-time dashboards and AI-powered drift detection.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Audit Readiness:</w:t>
      </w:r>
      <w:r>
        <w:rPr>
          <w:sz w:val="22"/>
          <w:szCs w:val="22"/>
        </w:rPr>
        <w:t xml:space="preserve"> Detailed audit trail of all risk treatments for SOC 2 Type I/II.</w:t>
      </w:r>
    </w:p>
    <w:p>
      <w:pPr>
        <w:pBdr>
          <w:bottom w:val="single" w:color="auto" w:sz="6" w:space="1"/>
        </w:pBdr>
        <w:spacing w:before="200" w:after="200"/>
      </w:pPr>
      <w:r>
        <w:rPr>
          <w:sz w:val="12"/>
          <w:szCs w:val="12"/>
        </w:rPr>
        <w:t xml:space="preserve"/>
      </w:r>
    </w:p>
    <w:p>
      <w:pPr>
        <w:pStyle w:val="Heading1"/>
        <w:spacing w:before="400" w:after="200"/>
      </w:pPr>
      <w:r>
        <w:t xml:space="preserve">2. SOC 2 Context Overview</w:t>
      </w:r>
    </w:p>
    <w:p>
      <w:pPr>
        <w:spacing w:after="150"/>
      </w:pPr>
      <w:r>
        <w:rPr>
          <w:sz w:val="22"/>
          <w:szCs w:val="22"/>
        </w:rPr>
        <w:t xml:space="preserve">The platform is engineered to align with the AICPA Trust Services Criteria (TSC), specifically supporting the following SOC 2 principles: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3B0DC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SOC 2 Principle</w:t>
            </w:r>
          </w:p>
        </w:tc>
        <w:tc>
          <w:tcPr>
            <w:shd w:fill="3B0DC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Platform Support</w:t>
            </w:r>
          </w:p>
        </w:tc>
      </w:tr>
      <w:tr>
        <w:tc>
          <w:tcPr>
            <w:shd w:fill="F0EF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shd w:fill="F0EF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Centralized risk identification and incident tracking to protect against unauthorized access.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Availability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Monitoring of operational risks (e.g., system downtime) and remediation planning.</w:t>
            </w:r>
          </w:p>
        </w:tc>
      </w:tr>
      <w:tr>
        <w:tc>
          <w:tcPr>
            <w:shd w:fill="F0EF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Confidentiality</w:t>
            </w:r>
          </w:p>
        </w:tc>
        <w:tc>
          <w:tcPr>
            <w:shd w:fill="F0EF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Role-Based Access Control (RBAC) ensuring sensitive data is visible only to authorized personnel.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Processing Integrity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Standardized scoring models and AI-assisted analysis for consistency and accuracy in risk reporting.</w:t>
            </w:r>
          </w:p>
        </w:tc>
      </w:tr>
    </w:tbl>
    <w:p>
      <w:pPr>
        <w:pBdr>
          <w:bottom w:val="single" w:color="auto" w:sz="6" w:space="1"/>
        </w:pBdr>
        <w:spacing w:before="200" w:after="200"/>
      </w:pPr>
      <w:r>
        <w:rPr>
          <w:sz w:val="12"/>
          <w:szCs w:val="12"/>
        </w:rPr>
        <w:t xml:space="preserve"/>
      </w:r>
    </w:p>
    <w:p>
      <w:pPr>
        <w:pStyle w:val="Heading1"/>
        <w:spacing w:before="400" w:after="200"/>
      </w:pPr>
      <w:r>
        <w:t xml:space="preserve">3. User Access &amp; Authentication</w:t>
      </w:r>
    </w:p>
    <w:p>
      <w:pPr>
        <w:spacing w:after="150"/>
      </w:pPr>
      <w:r>
        <w:rPr>
          <w:sz w:val="22"/>
          <w:szCs w:val="22"/>
        </w:rPr>
        <w:t xml:space="preserve">Effective logical access control is a cornerstone of SOC 2 (CC6.1). The platform implements strict Role-Based Access Control (RBAC) to ensure that users only access functionality necessary for their roles.</w:t>
      </w:r>
    </w:p>
    <w:p>
      <w:pPr>
        <w:pStyle w:val="Heading2"/>
        <w:spacing w:before="300" w:after="150"/>
      </w:pPr>
      <w:r>
        <w:t xml:space="preserve">Role-Based Visibility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Admin:</w:t>
      </w:r>
      <w:r>
        <w:rPr>
          <w:sz w:val="22"/>
          <w:szCs w:val="22"/>
        </w:rPr>
        <w:t xml:space="preserve"> Full governance control, user management, and system configuration.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Risk Manager:</w:t>
      </w:r>
      <w:r>
        <w:rPr>
          <w:sz w:val="22"/>
          <w:szCs w:val="22"/>
        </w:rPr>
        <w:t xml:space="preserve"> Oversight of all risks and controls; ability to assign tasks.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Auditor:</w:t>
      </w:r>
      <w:r>
        <w:rPr>
          <w:sz w:val="22"/>
          <w:szCs w:val="22"/>
        </w:rPr>
        <w:t xml:space="preserve"> Specialized Read-Only access to all registers and evidence.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Standard User:</w:t>
      </w:r>
      <w:r>
        <w:rPr>
          <w:sz w:val="22"/>
          <w:szCs w:val="22"/>
        </w:rPr>
        <w:t xml:space="preserve"> Focused view of assigned risks and remediation actions.</w:t>
      </w:r>
    </w:p>
    <w:p>
      <w:pPr>
        <w:spacing w:before="200" w:after="10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888888"/>
          <w:sz w:val="18"/>
          <w:szCs w:val="18"/>
        </w:rPr>
        <w:t xml:space="preserve">Figure 1: Secure Login portal with Role-Based Access Control and Enterprise SSO integration.</w:t>
      </w:r>
    </w:p>
    <w:p>
      <w:pPr>
        <w:pBdr>
          <w:bottom w:val="single" w:color="auto" w:sz="6" w:space="1"/>
        </w:pBdr>
        <w:spacing w:before="200" w:after="200"/>
      </w:pPr>
      <w:r>
        <w:rPr>
          <w:sz w:val="12"/>
          <w:szCs w:val="12"/>
        </w:rPr>
        <w:t xml:space="preserve"/>
      </w:r>
    </w:p>
    <w:p>
      <w:pPr>
        <w:pStyle w:val="Heading1"/>
        <w:spacing w:before="400" w:after="200"/>
      </w:pPr>
      <w:r>
        <w:t xml:space="preserve">4. Dashboard — Risk Visibility</w:t>
      </w:r>
    </w:p>
    <w:p>
      <w:pPr>
        <w:spacing w:after="150"/>
      </w:pPr>
      <w:r>
        <w:rPr>
          <w:sz w:val="22"/>
          <w:szCs w:val="22"/>
        </w:rPr>
        <w:t xml:space="preserve">The Dashboard provides the Continuous Monitoring required for SOC 2 (CC4.1). It offers real-time visualization of the risk landscape, allowing leadership to perform rapid oversight.</w:t>
      </w:r>
    </w:p>
    <w:p>
      <w:pPr>
        <w:pStyle w:val="Heading2"/>
        <w:spacing w:before="300" w:after="150"/>
      </w:pPr>
      <w:r>
        <w:t xml:space="preserve">Key Metrics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Analytics Overview:</w:t>
      </w:r>
      <w:r>
        <w:rPr>
          <w:sz w:val="22"/>
          <w:szCs w:val="22"/>
        </w:rPr>
        <w:t xml:space="preserve"> Real-time tracking of Total Risks, Critical items, Mitigated, and Closed risks.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Risk Distribution Matrix (Heatmap):</w:t>
      </w:r>
      <w:r>
        <w:rPr>
          <w:sz w:val="22"/>
          <w:szCs w:val="22"/>
        </w:rPr>
        <w:t xml:space="preserve"> Visualizes risk density across Likelihood and Impact axes.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Portfolio Health:</w:t>
      </w:r>
      <w:r>
        <w:rPr>
          <w:sz w:val="22"/>
          <w:szCs w:val="22"/>
        </w:rPr>
        <w:t xml:space="preserve"> Immediate visibility into critical exposures requiring urgent attention.</w:t>
      </w:r>
    </w:p>
    <w:p>
      <w:pPr>
        <w:spacing w:before="200" w:after="10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888888"/>
          <w:sz w:val="18"/>
          <w:szCs w:val="18"/>
        </w:rPr>
        <w:t xml:space="preserve">Figure 2: Analytics Overview illustrating live risk distribution and portfolio monitoring.</w:t>
      </w:r>
    </w:p>
    <w:p>
      <w:pPr>
        <w:pBdr>
          <w:bottom w:val="single" w:color="auto" w:sz="6" w:space="1"/>
        </w:pBdr>
        <w:spacing w:before="200" w:after="200"/>
      </w:pPr>
      <w:r>
        <w:rPr>
          <w:sz w:val="12"/>
          <w:szCs w:val="12"/>
        </w:rPr>
        <w:t xml:space="preserve"/>
      </w:r>
    </w:p>
    <w:p>
      <w:pPr>
        <w:pStyle w:val="Heading1"/>
        <w:spacing w:before="400" w:after="200"/>
      </w:pPr>
      <w:r>
        <w:t xml:space="preserve">5. Risk Identification</w:t>
      </w:r>
    </w:p>
    <w:p>
      <w:pPr>
        <w:spacing w:after="150"/>
      </w:pPr>
      <w:r>
        <w:rPr>
          <w:sz w:val="22"/>
          <w:szCs w:val="22"/>
        </w:rPr>
        <w:t xml:space="preserve">A structured risk identification process (SOC 2 CC3.2) is critical for comprehensive coverage. The Risk Register allows systematic capture of potential threats across all departments.</w:t>
      </w:r>
    </w:p>
    <w:p>
      <w:pPr>
        <w:pStyle w:val="Heading2"/>
        <w:spacing w:before="300" w:after="150"/>
      </w:pPr>
      <w:r>
        <w:t xml:space="preserve">Risk Attributes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Unique Identifiers:</w:t>
      </w:r>
      <w:r>
        <w:rPr>
          <w:sz w:val="22"/>
          <w:szCs w:val="22"/>
        </w:rPr>
        <w:t xml:space="preserve"> Automated ID generation (e.g., RISK-2026-157) for precise audit traceability.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Severity Categorization:</w:t>
      </w:r>
      <w:r>
        <w:rPr>
          <w:sz w:val="22"/>
          <w:szCs w:val="22"/>
        </w:rPr>
        <w:t xml:space="preserve"> Visual indicators for severity (Critical, High, Medium, Low).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Departmental Context:</w:t>
      </w:r>
      <w:r>
        <w:rPr>
          <w:sz w:val="22"/>
          <w:szCs w:val="22"/>
        </w:rPr>
        <w:t xml:space="preserve"> Mapping risks to IT, Marketing, Operations, Finance, and HR.</w:t>
      </w:r>
    </w:p>
    <w:p>
      <w:pPr>
        <w:spacing w:before="200" w:after="10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888888"/>
          <w:sz w:val="18"/>
          <w:szCs w:val="18"/>
        </w:rPr>
        <w:t xml:space="preserve">Figure 3: Centralized Risk Register displaying categorized threats and current status tracking.</w:t>
      </w:r>
    </w:p>
    <w:p>
      <w:pPr>
        <w:pBdr>
          <w:bottom w:val="single" w:color="auto" w:sz="6" w:space="1"/>
        </w:pBdr>
        <w:spacing w:before="200" w:after="200"/>
      </w:pPr>
      <w:r>
        <w:rPr>
          <w:sz w:val="12"/>
          <w:szCs w:val="12"/>
        </w:rPr>
        <w:t xml:space="preserve"/>
      </w:r>
    </w:p>
    <w:p>
      <w:pPr>
        <w:pStyle w:val="Heading1"/>
        <w:spacing w:before="400" w:after="200"/>
      </w:pPr>
      <w:r>
        <w:t xml:space="preserve">6. Risk Assessment &amp; Scoring</w:t>
      </w:r>
    </w:p>
    <w:p>
      <w:pPr>
        <w:spacing w:after="150"/>
      </w:pPr>
      <w:r>
        <w:rPr>
          <w:sz w:val="22"/>
          <w:szCs w:val="22"/>
        </w:rPr>
        <w:t xml:space="preserve">The platform utilizes a standardized scoring methodology to ensure objective risk prioritization. Risks are assessed based on Impact and Likelihood, resulting in an objective risk score.</w:t>
      </w:r>
    </w:p>
    <w:p>
      <w:pPr>
        <w:pStyle w:val="Heading2"/>
        <w:spacing w:before="300" w:after="150"/>
      </w:pPr>
      <w:r>
        <w:t xml:space="preserve">AI-Powered Methodology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AI Strategic Insights:</w:t>
      </w:r>
      <w:r>
        <w:rPr>
          <w:sz w:val="22"/>
          <w:szCs w:val="22"/>
        </w:rPr>
        <w:t xml:space="preserve"> Deep-learning analysis provides context-aware assessments and mitigation suggestions.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AI Scoring Assistant:</w:t>
      </w:r>
      <w:r>
        <w:rPr>
          <w:sz w:val="22"/>
          <w:szCs w:val="22"/>
        </w:rPr>
        <w:t xml:space="preserve"> Recommends objective scores based on risk statements and descriptions.</w:t>
      </w:r>
    </w:p>
    <w:p>
      <w:pPr>
        <w:spacing w:before="200" w:after="10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888888"/>
          <w:sz w:val="18"/>
          <w:szCs w:val="18"/>
        </w:rPr>
        <w:t xml:space="preserve">Figure 4: Detailed Risk Assessment view with AI-powered scoring assistance and strategic insights.</w:t>
      </w:r>
    </w:p>
    <w:p>
      <w:pPr>
        <w:pBdr>
          <w:bottom w:val="single" w:color="auto" w:sz="6" w:space="1"/>
        </w:pBdr>
        <w:spacing w:before="200" w:after="200"/>
      </w:pPr>
      <w:r>
        <w:rPr>
          <w:sz w:val="12"/>
          <w:szCs w:val="12"/>
        </w:rPr>
        <w:t xml:space="preserve"/>
      </w:r>
    </w:p>
    <w:p>
      <w:pPr>
        <w:pStyle w:val="Heading1"/>
        <w:spacing w:before="400" w:after="200"/>
      </w:pPr>
      <w:r>
        <w:t xml:space="preserve">7. Risk Treatment &amp; Mitigation</w:t>
      </w:r>
    </w:p>
    <w:p>
      <w:pPr>
        <w:spacing w:after="150"/>
      </w:pPr>
      <w:r>
        <w:rPr>
          <w:sz w:val="22"/>
          <w:szCs w:val="22"/>
        </w:rPr>
        <w:t xml:space="preserve">Once assessed, risks must be treated (SOC 2 CC3.3). The platform supports primary treatment strategies: Reduction, Acceptance, Transfer, and Avoidance.</w:t>
      </w:r>
    </w:p>
    <w:p>
      <w:pPr>
        <w:pStyle w:val="Heading2"/>
        <w:spacing w:before="300" w:after="150"/>
      </w:pPr>
      <w:r>
        <w:t xml:space="preserve">Remediation Tracking</w:t>
      </w:r>
    </w:p>
    <w:p>
      <w:pPr>
        <w:spacing w:after="150"/>
      </w:pPr>
      <w:r>
        <w:rPr>
          <w:sz w:val="22"/>
          <w:szCs w:val="22"/>
        </w:rPr>
        <w:t xml:space="preserve">Remediation plans are linked to controls and tracked through lifecycle statuses (Identified → In Progress → Mitigated → Closed). The My Risks view provides individual owners with a tailored checklist of their responsibilities.</w:t>
      </w:r>
    </w:p>
    <w:p>
      <w:pPr>
        <w:spacing w:before="200" w:after="10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888888"/>
          <w:sz w:val="18"/>
          <w:szCs w:val="18"/>
        </w:rPr>
        <w:t xml:space="preserve">Figure 5: Personal Risk Dashboard (My Risks) ensuring accountability for remediation tasks.</w:t>
      </w:r>
    </w:p>
    <w:p>
      <w:pPr>
        <w:pBdr>
          <w:bottom w:val="single" w:color="auto" w:sz="6" w:space="1"/>
        </w:pBdr>
        <w:spacing w:before="200" w:after="200"/>
      </w:pPr>
      <w:r>
        <w:rPr>
          <w:sz w:val="12"/>
          <w:szCs w:val="12"/>
        </w:rPr>
        <w:t xml:space="preserve"/>
      </w:r>
    </w:p>
    <w:p>
      <w:pPr>
        <w:pStyle w:val="Heading1"/>
        <w:spacing w:before="400" w:after="200"/>
      </w:pPr>
      <w:r>
        <w:t xml:space="preserve">8. Control Mapping &amp; Evidence (SOC 2 Critical)</w:t>
      </w:r>
    </w:p>
    <w:p>
      <w:pPr>
        <w:spacing w:after="150"/>
      </w:pPr>
      <w:r>
        <w:rPr>
          <w:sz w:val="22"/>
          <w:szCs w:val="22"/>
        </w:rPr>
        <w:t xml:space="preserve">Traceability is the 'Golden Thread' of an audit. The Control Library links specific security controls directly to identified risks and operational tasks.</w:t>
      </w:r>
    </w:p>
    <w:p>
      <w:pPr>
        <w:pStyle w:val="Heading2"/>
        <w:spacing w:before="300" w:after="150"/>
      </w:pPr>
      <w:r>
        <w:t xml:space="preserve">Control Attributes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Classification:</w:t>
      </w:r>
      <w:r>
        <w:rPr>
          <w:sz w:val="22"/>
          <w:szCs w:val="22"/>
        </w:rPr>
        <w:t xml:space="preserve"> Preventive, Detective, or Corrective controls.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Implementation Tracking:</w:t>
      </w:r>
      <w:r>
        <w:rPr>
          <w:sz w:val="22"/>
          <w:szCs w:val="22"/>
        </w:rPr>
        <w:t xml:space="preserve"> Real-time status updates (Designed, Implemented, Optimized).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Effectiveness Scoring:</w:t>
      </w:r>
      <w:r>
        <w:rPr>
          <w:sz w:val="22"/>
          <w:szCs w:val="22"/>
        </w:rPr>
        <w:t xml:space="preserve"> Standardized assessments to provide assurance to auditors.</w:t>
      </w:r>
    </w:p>
    <w:p>
      <w:pPr>
        <w:spacing w:before="200" w:after="10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888888"/>
          <w:sz w:val="18"/>
          <w:szCs w:val="18"/>
        </w:rPr>
        <w:t xml:space="preserve">Figure 6: Control Library managing enterprise security controls and implementation status.</w:t>
      </w:r>
    </w:p>
    <w:p>
      <w:pPr>
        <w:pBdr>
          <w:bottom w:val="single" w:color="auto" w:sz="6" w:space="1"/>
        </w:pBdr>
        <w:spacing w:before="200" w:after="200"/>
      </w:pPr>
      <w:r>
        <w:rPr>
          <w:sz w:val="12"/>
          <w:szCs w:val="12"/>
        </w:rPr>
        <w:t xml:space="preserve"/>
      </w:r>
    </w:p>
    <w:p>
      <w:pPr>
        <w:pStyle w:val="Heading1"/>
        <w:spacing w:before="400" w:after="200"/>
      </w:pPr>
      <w:r>
        <w:t xml:space="preserve">9. AI Risk Assistant</w:t>
      </w:r>
    </w:p>
    <w:p>
      <w:pPr>
        <w:spacing w:after="150"/>
      </w:pPr>
      <w:r>
        <w:rPr>
          <w:sz w:val="22"/>
          <w:szCs w:val="22"/>
        </w:rPr>
        <w:t xml:space="preserve">The platform features a built-in AI Risk Assistant (Chat Bot) that provides conversational access to the entire risk landscape. Available on every page, it enables instant querying without navigating menus.</w:t>
      </w:r>
    </w:p>
    <w:p>
      <w:pPr>
        <w:pStyle w:val="Heading2"/>
        <w:spacing w:before="300" w:after="150"/>
      </w:pPr>
      <w:r>
        <w:t xml:space="preserve">Capabilities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Natural Language Querying:</w:t>
      </w:r>
      <w:r>
        <w:rPr>
          <w:sz w:val="22"/>
          <w:szCs w:val="22"/>
        </w:rPr>
        <w:t xml:space="preserve"> Ask questions like "What are my most critical IT risks?" or "Show overdue tasks."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Contextual Intelligence:</w:t>
      </w:r>
      <w:r>
        <w:rPr>
          <w:sz w:val="22"/>
          <w:szCs w:val="22"/>
        </w:rPr>
        <w:t xml:space="preserve"> Provides immediate insights based on the current view (Compliance, Risks, or Controls).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Audit Support:</w:t>
      </w:r>
      <w:r>
        <w:rPr>
          <w:sz w:val="22"/>
          <w:szCs w:val="22"/>
        </w:rPr>
        <w:t xml:space="preserve"> Quickly retrieves evidence or control status during auditor walkthroughs.</w:t>
      </w:r>
    </w:p>
    <w:p>
      <w:pPr>
        <w:spacing w:before="200" w:after="10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888888"/>
          <w:sz w:val="18"/>
          <w:szCs w:val="18"/>
        </w:rPr>
        <w:t xml:space="preserve">Figure 7: AI Risk Assistant providing real-time, conversational insights into the GRC environment.</w:t>
      </w:r>
    </w:p>
    <w:p>
      <w:pPr>
        <w:pBdr>
          <w:bottom w:val="single" w:color="auto" w:sz="6" w:space="1"/>
        </w:pBdr>
        <w:spacing w:before="200" w:after="200"/>
      </w:pPr>
      <w:r>
        <w:rPr>
          <w:sz w:val="12"/>
          <w:szCs w:val="12"/>
        </w:rPr>
        <w:t xml:space="preserve"/>
      </w:r>
    </w:p>
    <w:p>
      <w:pPr>
        <w:pStyle w:val="Heading1"/>
        <w:spacing w:before="400" w:after="200"/>
      </w:pPr>
      <w:r>
        <w:t xml:space="preserve">10. Monitoring &amp; Incident Management</w:t>
      </w:r>
    </w:p>
    <w:p>
      <w:pPr>
        <w:spacing w:after="150"/>
      </w:pPr>
      <w:r>
        <w:rPr>
          <w:sz w:val="22"/>
          <w:szCs w:val="22"/>
        </w:rPr>
        <w:t xml:space="preserve">SOC 2 requires the logging and resolution of security events (CC7.2). The Incidents page centralizes the monitoring of threats and their full lifecycle management.</w:t>
      </w:r>
    </w:p>
    <w:p>
      <w:pPr>
        <w:pStyle w:val="Heading2"/>
        <w:spacing w:before="300" w:after="150"/>
      </w:pPr>
      <w:r>
        <w:t xml:space="preserve">Features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Event Logging:</w:t>
      </w:r>
      <w:r>
        <w:rPr>
          <w:sz w:val="22"/>
          <w:szCs w:val="22"/>
        </w:rPr>
        <w:t xml:space="preserve"> Capture security events with severity levels (Critical, High, Medium, Low).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AI Root Cause Analysis:</w:t>
      </w:r>
      <w:r>
        <w:rPr>
          <w:sz w:val="22"/>
          <w:szCs w:val="22"/>
        </w:rPr>
        <w:t xml:space="preserve"> AI-assisted deep-dive investigation into systemic failures.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Resolution Tracking:</w:t>
      </w:r>
      <w:r>
        <w:rPr>
          <w:sz w:val="22"/>
          <w:szCs w:val="22"/>
        </w:rPr>
        <w:t xml:space="preserve"> Every incident has a documented resolution, vital for audit evidence.</w:t>
      </w:r>
    </w:p>
    <w:p>
      <w:pPr>
        <w:spacing w:before="200" w:after="10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888888"/>
          <w:sz w:val="18"/>
          <w:szCs w:val="18"/>
        </w:rPr>
        <w:t xml:space="preserve">Figure 8: Centralized Incident &amp; Event monitoring for SOC 2 security compliance.</w:t>
      </w:r>
    </w:p>
    <w:p>
      <w:pPr>
        <w:pBdr>
          <w:bottom w:val="single" w:color="auto" w:sz="6" w:space="1"/>
        </w:pBdr>
        <w:spacing w:before="200" w:after="200"/>
      </w:pPr>
      <w:r>
        <w:rPr>
          <w:sz w:val="12"/>
          <w:szCs w:val="12"/>
        </w:rPr>
        <w:t xml:space="preserve"/>
      </w:r>
    </w:p>
    <w:p>
      <w:pPr>
        <w:pStyle w:val="Heading1"/>
        <w:spacing w:before="400" w:after="200"/>
      </w:pPr>
      <w:r>
        <w:t xml:space="preserve">11. Reporting &amp; Executive Governance</w:t>
      </w:r>
    </w:p>
    <w:p>
      <w:pPr>
        <w:spacing w:after="150"/>
      </w:pPr>
      <w:r>
        <w:rPr>
          <w:sz w:val="22"/>
          <w:szCs w:val="22"/>
        </w:rPr>
        <w:t xml:space="preserve">The Executive Board Deck provides automated, AI-generated summaries tailored for stakeholders, the Board, and external auditors.</w:t>
      </w:r>
    </w:p>
    <w:p>
      <w:pPr>
        <w:pStyle w:val="Heading2"/>
        <w:spacing w:before="300" w:after="150"/>
      </w:pPr>
      <w:r>
        <w:t xml:space="preserve">Deliverables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AI Executive Summary:</w:t>
      </w:r>
      <w:r>
        <w:rPr>
          <w:sz w:val="22"/>
          <w:szCs w:val="22"/>
        </w:rPr>
        <w:t xml:space="preserve"> Narrative summaries of current risk posture and compliance status.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Stakeholder Briefs:</w:t>
      </w:r>
      <w:r>
        <w:rPr>
          <w:sz w:val="22"/>
          <w:szCs w:val="22"/>
        </w:rPr>
        <w:t xml:space="preserve"> Tailored report generation for CRO, Auditor, and Board of Directors.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Exportable Artifacts:</w:t>
      </w:r>
      <w:r>
        <w:rPr>
          <w:sz w:val="22"/>
          <w:szCs w:val="22"/>
        </w:rPr>
        <w:t xml:space="preserve"> PDF export for Board meetings and SOC 2 audit submissions.</w:t>
      </w:r>
    </w:p>
    <w:p>
      <w:pPr>
        <w:spacing w:before="200" w:after="10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888888"/>
          <w:sz w:val="18"/>
          <w:szCs w:val="18"/>
        </w:rPr>
        <w:t xml:space="preserve">Figure 9: Executive Board Deck featuring AI-generated stakeholder summaries.</w:t>
      </w:r>
    </w:p>
    <w:p>
      <w:pPr>
        <w:pBdr>
          <w:bottom w:val="single" w:color="auto" w:sz="6" w:space="1"/>
        </w:pBdr>
        <w:spacing w:before="200" w:after="200"/>
      </w:pPr>
      <w:r>
        <w:rPr>
          <w:sz w:val="12"/>
          <w:szCs w:val="12"/>
        </w:rPr>
        <w:t xml:space="preserve"/>
      </w:r>
    </w:p>
    <w:p>
      <w:pPr>
        <w:pStyle w:val="Heading1"/>
        <w:spacing w:before="400" w:after="200"/>
      </w:pPr>
      <w:r>
        <w:t xml:space="preserve">12. Governance &amp; Compliance Frameworks</w:t>
      </w:r>
    </w:p>
    <w:p>
      <w:pPr>
        <w:spacing w:after="150"/>
      </w:pPr>
      <w:r>
        <w:rPr>
          <w:sz w:val="22"/>
          <w:szCs w:val="22"/>
        </w:rPr>
        <w:t xml:space="preserve">The AI Analysis module provides dedicated governance tooling, including compliance framework monitoring. The platform actively monitors SOC 2 Type II as its primary framework.</w:t>
      </w:r>
    </w:p>
    <w:p>
      <w:pPr>
        <w:pStyle w:val="Heading2"/>
        <w:spacing w:before="300" w:after="150"/>
      </w:pPr>
      <w:r>
        <w:t xml:space="preserve">Framework Monitoring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Compliance Exposure:</w:t>
      </w:r>
      <w:r>
        <w:rPr>
          <w:sz w:val="22"/>
          <w:szCs w:val="22"/>
        </w:rPr>
        <w:t xml:space="preserve"> Real-time visibility into framework coverage and control gaps.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Compliance Impact Insight (AI):</w:t>
      </w:r>
      <w:r>
        <w:rPr>
          <w:sz w:val="22"/>
          <w:szCs w:val="22"/>
        </w:rPr>
        <w:t xml:space="preserve"> AI-driven alerts on potential regulatory scrutiny based on current exposures.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Framework Library:</w:t>
      </w:r>
      <w:r>
        <w:rPr>
          <w:sz w:val="22"/>
          <w:szCs w:val="22"/>
        </w:rPr>
        <w:t xml:space="preserve"> Centralized management of SOC 2, ISO 27001, and other industry standards.</w:t>
      </w:r>
    </w:p>
    <w:p>
      <w:pPr>
        <w:spacing w:before="200" w:after="10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888888"/>
          <w:sz w:val="18"/>
          <w:szCs w:val="18"/>
        </w:rPr>
        <w:t xml:space="preserve">Figure 10: Governance &amp; Compliance module monitoring SOC 2 framework alignment and exposure.</w:t>
      </w:r>
    </w:p>
    <w:p>
      <w:pPr>
        <w:pBdr>
          <w:bottom w:val="single" w:color="auto" w:sz="6" w:space="1"/>
        </w:pBdr>
        <w:spacing w:before="200" w:after="200"/>
      </w:pPr>
      <w:r>
        <w:rPr>
          <w:sz w:val="12"/>
          <w:szCs w:val="12"/>
        </w:rPr>
        <w:t xml:space="preserve"/>
      </w:r>
    </w:p>
    <w:p>
      <w:pPr>
        <w:pStyle w:val="Heading1"/>
        <w:spacing w:before="400" w:after="200"/>
      </w:pPr>
      <w:r>
        <w:t xml:space="preserve">13. Administration &amp; Configuration</w:t>
      </w:r>
    </w:p>
    <w:p>
      <w:pPr>
        <w:spacing w:after="150"/>
      </w:pPr>
      <w:r>
        <w:rPr>
          <w:sz w:val="22"/>
          <w:szCs w:val="22"/>
        </w:rPr>
        <w:t xml:space="preserve">Admin Settings allow governance teams to configure the platform to specific risk appetite, scoring models, and AI capabilities.</w:t>
      </w:r>
    </w:p>
    <w:p>
      <w:pPr>
        <w:pStyle w:val="Heading2"/>
        <w:spacing w:before="300" w:after="150"/>
      </w:pPr>
      <w:r>
        <w:t xml:space="preserve">Configuration Areas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AI Controls:</w:t>
      </w:r>
      <w:r>
        <w:rPr>
          <w:sz w:val="22"/>
          <w:szCs w:val="22"/>
        </w:rPr>
        <w:t xml:space="preserve"> Granular toggles for AI Risk Scoring, Outlier Detection, and Excel Import mapping.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User Management:</w:t>
      </w:r>
      <w:r>
        <w:rPr>
          <w:sz w:val="22"/>
          <w:szCs w:val="22"/>
        </w:rPr>
        <w:t xml:space="preserve"> Centralized control over roles, departments, and user status (Active/Inactive).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Audit History:</w:t>
      </w:r>
      <w:r>
        <w:rPr>
          <w:sz w:val="22"/>
          <w:szCs w:val="22"/>
        </w:rPr>
        <w:t xml:space="preserve"> Comprehensive logs of all administrative and governance changes.</w:t>
      </w:r>
    </w:p>
    <w:p>
      <w:pPr>
        <w:spacing w:before="200" w:after="10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888888"/>
          <w:sz w:val="18"/>
          <w:szCs w:val="18"/>
        </w:rPr>
        <w:t xml:space="preserve">Figure 11: Administrative settings for configuring AI parameters and organizational governance.</w:t>
      </w:r>
    </w:p>
    <w:p>
      <w:pPr>
        <w:pBdr>
          <w:bottom w:val="single" w:color="auto" w:sz="6" w:space="1"/>
        </w:pBdr>
        <w:spacing w:before="200" w:after="200"/>
      </w:pPr>
      <w:r>
        <w:rPr>
          <w:sz w:val="12"/>
          <w:szCs w:val="12"/>
        </w:rPr>
        <w:t xml:space="preserve"/>
      </w:r>
    </w:p>
    <w:p>
      <w:pPr>
        <w:pStyle w:val="Heading1"/>
        <w:spacing w:before="400" w:after="200"/>
      </w:pPr>
      <w:r>
        <w:t xml:space="preserve">14. Summary</w:t>
      </w:r>
    </w:p>
    <w:p>
      <w:pPr>
        <w:spacing w:after="150"/>
      </w:pPr>
      <w:r>
        <w:rPr>
          <w:sz w:val="22"/>
          <w:szCs w:val="22"/>
        </w:rPr>
        <w:t xml:space="preserve">The SWOT RISK platform provides a comprehensive, audit-ready GRC solution. By combining structured risk identification, AI-powered scoring, automated reporting, and a conversational AI assistant, the platform dramatically reduces the compliance burden while improving organizational risk posture.</w:t>
      </w:r>
    </w:p>
    <w:p>
      <w:pPr>
        <w:spacing w:after="600"/>
      </w:pPr>
    </w:p>
    <w:p>
      <w:pPr>
        <w:jc w:val="center"/>
      </w:pPr>
      <w:r>
        <w:rPr>
          <w:i/>
          <w:iCs/>
          <w:color w:val="AAAAAA"/>
          <w:sz w:val="18"/>
          <w:szCs w:val="18"/>
        </w:rPr>
        <w:t xml:space="preserve">© 2026 SWOT Risk Platform  |  All Rights Reserved  |  Confidential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200"/>
    </w:pPr>
    <w:rPr>
      <w:b/>
      <w:bCs/>
      <w:color w:val="3B0DC9"/>
      <w:sz w:val="36"/>
      <w:szCs w:val="36"/>
    </w:rPr>
  </w:style>
  <w:style w:type="paragraph" w:styleId="Heading2">
    <w:name w:val="Heading 2"/>
    <w:basedOn w:val="Normal"/>
    <w:next w:val="Normal"/>
    <w:pPr>
      <w:spacing w:before="300" w:after="150"/>
    </w:pPr>
    <w:rPr>
      <w:b/>
      <w:bCs/>
      <w:color w:val="5522DD"/>
      <w:sz w:val="28"/>
      <w:szCs w:val="28"/>
    </w:rPr>
  </w:style>
  <w:style w:type="paragraph" w:styleId="Heading3">
    <w:name w:val="Heading 3"/>
    <w:basedOn w:val="Normal"/>
    <w:next w:val="Normal"/>
    <w:pPr>
      <w:spacing w:before="200" w:after="100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f7fa9e844a675be2bd4c5b6ca209e6fae94f2cb.undefined"/><Relationship Id="rId7" Type="http://schemas.openxmlformats.org/officeDocument/2006/relationships/image" Target="media/13be67f7c2680e7de9cee19adef765eb14b7a35b.undefined"/><Relationship Id="rId8" Type="http://schemas.openxmlformats.org/officeDocument/2006/relationships/image" Target="media/867ccdbc880e543e8f4279c7d615a7a28c38dad8.undefined"/><Relationship Id="rId9" Type="http://schemas.openxmlformats.org/officeDocument/2006/relationships/image" Target="media/f94ee3d5ddb40b52d809b73950a9ff30dd62462c.undefined"/><Relationship Id="rId10" Type="http://schemas.openxmlformats.org/officeDocument/2006/relationships/image" Target="media/0b7e198b873f54b50fb10279b32e862204ef947c.undefined"/><Relationship Id="rId11" Type="http://schemas.openxmlformats.org/officeDocument/2006/relationships/image" Target="media/8f59da2e405b866ebdb466fa9a7fb576e78f8d5e.undefined"/><Relationship Id="rId12" Type="http://schemas.openxmlformats.org/officeDocument/2006/relationships/image" Target="media/aa2c0f3d64bbacb9330ed86ccc1bb135b5fd11db.undefined"/><Relationship Id="rId13" Type="http://schemas.openxmlformats.org/officeDocument/2006/relationships/image" Target="media/bee955798f037d91877e533aa6b458e4b16a63bd.undefined"/><Relationship Id="rId14" Type="http://schemas.openxmlformats.org/officeDocument/2006/relationships/image" Target="media/1bab50c7067bbab4e6c1ef9e32c5c5a743091b8d.undefined"/><Relationship Id="rId15" Type="http://schemas.openxmlformats.org/officeDocument/2006/relationships/image" Target="media/05c3dbe2118a985a7b5bbf911e14edeee61aa3b7.undefined"/><Relationship Id="rId16" Type="http://schemas.openxmlformats.org/officeDocument/2006/relationships/image" Target="media/9cd7db1312bc68f5b62f1cf4acb21ddb3e12dcc4.undefined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SWOT RISK - GRC Walkthrough</dc:title>
  <dc:creator>Un-named</dc:creator>
  <dc:description>Professional GRC Walkthrough aligned with SOC 2</dc:description>
  <cp:lastModifiedBy>Un-named</cp:lastModifiedBy>
  <cp:revision>1</cp:revision>
  <dcterms:created xsi:type="dcterms:W3CDTF">2026-02-23T09:06:30.022Z</dcterms:created>
  <dcterms:modified xsi:type="dcterms:W3CDTF">2026-02-23T09:06:30.023Z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