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Calibri" w:hAnsi="Calibri"/>
          <w:b/>
          <w:color w:val="2E74B5"/>
          <w:sz w:val="48"/>
        </w:rPr>
        <w:t>Open Perps Reliability Stack For Solana</w:t>
      </w:r>
    </w:p>
    <w:p>
      <w:pPr>
        <w:spacing w:after="320"/>
        <w:jc w:val="center"/>
      </w:pPr>
      <w:r>
        <w:rPr>
          <w:color w:val="1F4D78"/>
          <w:sz w:val="26"/>
        </w:rPr>
        <w:t>Solana Foundation Developer Tooling Grant Proposal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7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Applicant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Blocksize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Project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 Perps Reliability Stack for Solana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Funding category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Developer Tooling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Funding request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$125,000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 repo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https://github.com/jf-cmyk/open-perps-reliability-stack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Scope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Open-source, read-only, dry-run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Grant scope boundary</w:t>
            </w:r>
          </w:p>
          <w:p>
            <w:pPr>
              <w:spacing w:after="0"/>
            </w:pPr>
            <w:r>
              <w:rPr>
                <w:sz w:val="20"/>
              </w:rPr>
              <w:t>The grant-funded scope is intentionally read-only and dry-run only. It does not include signing, custody, capital deployment, live liquidation execution, live transaction submission, private-key handling, or trading-profit promises.</w:t>
            </w:r>
          </w:p>
        </w:tc>
      </w:tr>
    </w:tbl>
    <w:p/>
    <w:p>
      <w:pPr>
        <w:pStyle w:val="Heading1"/>
      </w:pPr>
      <w:r>
        <w:t>Summary</w:t>
      </w:r>
    </w:p>
    <w:p>
      <w:r>
        <w:t>Open Perps Reliability Stack is open-source developer tooling for Solana onchain perps reliability. It provides read-only protocol adapters, source-governed decode records, Pyth-aware risk primitives, normalized market-quality data, fixture-backed deterministic dry-run reasoning, and public dashboard/API schemas.</w:t>
      </w:r>
    </w:p>
    <w:p>
      <w:r>
        <w:t>The current MVP is intentionally complementary infrastructure, not a venue. It gives builders and reviewers a reproducible way to inspect reliability evidence across Drift, Jupiter Perps, Phoenix/Rise, oracle inputs, and public proof packages while preserving a strict no-signing and no-production-execution boundary.</w:t>
      </w:r>
    </w:p>
    <w:p>
      <w:pPr>
        <w:pStyle w:val="Heading1"/>
      </w:pPr>
      <w:r>
        <w:t>Problem</w:t>
      </w:r>
    </w:p>
    <w:p>
      <w:r>
        <w:t>Solana perps venues are becoming more important, but reliability tooling is fragmented. Builders and risk teams need to understand market quality, oracle health, liquidation conditions, adapter/decode quality, and dry-run execution-failure methodology under stress. Today these views are often venue-specific, private, or embedded inside searcher infrastructure.</w:t>
      </w:r>
    </w:p>
    <w:p>
      <w:pPr>
        <w:pStyle w:val="ListBullet"/>
        <w:spacing w:after="80"/>
        <w:ind w:left="540" w:hanging="279"/>
      </w:pPr>
      <w:r>
        <w:t xml:space="preserve"> Which oracle feeds are stale, wide, missing, or diverging from venue marks?</w:t>
      </w:r>
    </w:p>
    <w:p>
      <w:pPr>
        <w:pStyle w:val="ListBullet"/>
        <w:spacing w:after="80"/>
        <w:ind w:left="540" w:hanging="279"/>
      </w:pPr>
      <w:r>
        <w:t xml:space="preserve"> Which markets show weak depth, high funding stress, or poor liquidation health?</w:t>
      </w:r>
    </w:p>
    <w:p>
      <w:pPr>
        <w:pStyle w:val="ListBullet"/>
        <w:spacing w:after="80"/>
        <w:ind w:left="540" w:hanging="279"/>
      </w:pPr>
      <w:r>
        <w:t xml:space="preserve"> Which account/event decoders are failing after program or IDL changes?</w:t>
      </w:r>
    </w:p>
    <w:p>
      <w:pPr>
        <w:pStyle w:val="ListBullet"/>
        <w:spacing w:after="80"/>
        <w:ind w:left="540" w:hanging="279"/>
      </w:pPr>
      <w:r>
        <w:t xml:space="preserve"> Which liquidation windows are detectable from public state, and why would a dry-run accept or reject them?</w:t>
      </w:r>
    </w:p>
    <w:p>
      <w:pPr>
        <w:pStyle w:val="ListBullet"/>
        <w:spacing w:after="80"/>
        <w:ind w:left="540" w:hanging="279"/>
      </w:pPr>
      <w:r>
        <w:t xml:space="preserve"> Which data can be published safely without leaking private strategy, RPC secrets, or signer/custody details?</w:t>
      </w:r>
    </w:p>
    <w:p>
      <w:pPr>
        <w:pStyle w:val="Heading1"/>
      </w:pPr>
      <w:r>
        <w:t>Proposed Solution</w:t>
      </w:r>
    </w:p>
    <w:p>
      <w:pPr>
        <w:pStyle w:val="ListBullet"/>
        <w:spacing w:after="80"/>
        <w:ind w:left="540" w:hanging="279"/>
      </w:pPr>
      <w:r>
        <w:t xml:space="preserve"> Adapter standard for read-only Solana perps venue integrations.</w:t>
      </w:r>
    </w:p>
    <w:p>
      <w:pPr>
        <w:pStyle w:val="ListBullet"/>
        <w:spacing w:after="80"/>
        <w:ind w:left="540" w:hanging="279"/>
      </w:pPr>
      <w:r>
        <w:t xml:space="preserve"> First fixture-backed Drift read-only adapter.</w:t>
      </w:r>
    </w:p>
    <w:p>
      <w:pPr>
        <w:pStyle w:val="ListBullet"/>
        <w:spacing w:after="80"/>
        <w:ind w:left="540" w:hanging="279"/>
      </w:pPr>
      <w:r>
        <w:t xml:space="preserve"> Source-review records that gate binary decode and replay claims on canonical source authority.</w:t>
      </w:r>
    </w:p>
    <w:p>
      <w:pPr>
        <w:pStyle w:val="ListBullet"/>
        <w:spacing w:after="80"/>
        <w:ind w:left="540" w:hanging="279"/>
      </w:pPr>
      <w:r>
        <w:t xml:space="preserve"> Pyth-aware risk SDK for staleness, confidence, divergence, and liquidation-risk inputs.</w:t>
      </w:r>
    </w:p>
    <w:p>
      <w:pPr>
        <w:pStyle w:val="ListBullet"/>
        <w:spacing w:after="80"/>
        <w:ind w:left="540" w:hanging="279"/>
      </w:pPr>
      <w:r>
        <w:t xml:space="preserve"> Canonical event envelope, lineage model, dataset manifests, and data quality publish gates.</w:t>
      </w:r>
    </w:p>
    <w:p>
      <w:pPr>
        <w:pStyle w:val="ListBullet"/>
        <w:spacing w:after="80"/>
        <w:ind w:left="540" w:hanging="279"/>
      </w:pPr>
      <w:r>
        <w:t xml:space="preserve"> Deterministic replay fixtures and dry-run output bundles with explicit reason codes.</w:t>
      </w:r>
    </w:p>
    <w:p>
      <w:pPr>
        <w:pStyle w:val="ListBullet"/>
        <w:spacing w:after="80"/>
        <w:ind w:left="540" w:hanging="279"/>
      </w:pPr>
      <w:r>
        <w:t xml:space="preserve"> Public dashboard/API schemas for market quality, oracle risk, liquidation health, adapter health, and methodology.</w:t>
      </w:r>
    </w:p>
    <w:p>
      <w:r>
        <w:t>This is not a new perp venue. It is neutral tooling that helps existing and future Solana perps systems become more inspectable, testable, and reliable.</w:t>
      </w:r>
    </w:p>
    <w:p>
      <w:pPr>
        <w:pStyle w:val="Heading1"/>
      </w:pPr>
      <w:r>
        <w:t>Why Solana</w:t>
      </w:r>
    </w:p>
    <w:p>
      <w:pPr>
        <w:pStyle w:val="ListBullet"/>
        <w:spacing w:after="80"/>
        <w:ind w:left="540" w:hanging="279"/>
      </w:pPr>
      <w:r>
        <w:t xml:space="preserve"> Pyth confidence, exponent, publish time, and freshness.</w:t>
      </w:r>
    </w:p>
    <w:p>
      <w:pPr>
        <w:pStyle w:val="ListBullet"/>
        <w:spacing w:after="80"/>
        <w:ind w:left="540" w:hanging="279"/>
      </w:pPr>
      <w:r>
        <w:t xml:space="preserve"> Slot timing, blockhash expiry, priority fees, compute budget, and account locks.</w:t>
      </w:r>
    </w:p>
    <w:p>
      <w:pPr>
        <w:pStyle w:val="ListBullet"/>
        <w:spacing w:after="80"/>
        <w:ind w:left="540" w:hanging="279"/>
      </w:pPr>
      <w:r>
        <w:t xml:space="preserve"> Venue-specific program accounts and event layouts.</w:t>
      </w:r>
    </w:p>
    <w:p>
      <w:pPr>
        <w:pStyle w:val="ListBullet"/>
        <w:spacing w:after="80"/>
        <w:ind w:left="540" w:hanging="279"/>
      </w:pPr>
      <w:r>
        <w:t xml:space="preserve"> High-throughput historical state, replay, and public dataset needs.</w:t>
      </w:r>
    </w:p>
    <w:p>
      <w:pPr>
        <w:pStyle w:val="ListBullet"/>
        <w:spacing w:after="80"/>
        <w:ind w:left="540" w:hanging="279"/>
      </w:pPr>
      <w:r>
        <w:t xml:space="preserve"> Onchain liquidation and margin semantics that differ by Solana venue.</w:t>
      </w:r>
    </w:p>
    <w:p>
      <w:pPr>
        <w:pStyle w:val="ListBullet"/>
        <w:spacing w:after="80"/>
        <w:ind w:left="540" w:hanging="279"/>
      </w:pPr>
      <w:r>
        <w:t xml:space="preserve"> Fast-moving network regimes such as VAT, Alpenglow, Agave, Firedancer, and DoubleZero transport changes.</w:t>
      </w:r>
    </w:p>
    <w:p>
      <w:pPr>
        <w:pStyle w:val="Heading1"/>
      </w:pPr>
      <w:r>
        <w:t>2026 Ecosystem Refresh And Grant Positioning</w:t>
      </w:r>
    </w:p>
    <w:p>
      <w:r>
        <w:t>The latest source-backed research strengthens the grant case while narrowing what should be claimed. Solana Foundation's 2026 Open Perps call explicitly welcomes complementary infrastructure around fully onchain perps; OPRS should therefore position the public-good core as reliability infrastructure rather than as execution, trading, or liquidation operations.</w:t>
      </w:r>
    </w:p>
    <w:p>
      <w:pPr>
        <w:pStyle w:val="ListBullet"/>
        <w:spacing w:after="80"/>
        <w:ind w:left="540" w:hanging="279"/>
      </w:pPr>
      <w:r>
        <w:t xml:space="preserve"> Drift remains the first fixture-backed adapter path. Historical liquidation reconstruction should advance only from public finalized transaction evidence and pinned legacy source, with migrated Velocity-hosted records used as discovery or corroboration rather than sole authority.</w:t>
      </w:r>
    </w:p>
    <w:p>
      <w:pPr>
        <w:pStyle w:val="ListBullet"/>
        <w:spacing w:after="80"/>
        <w:ind w:left="540" w:hanging="279"/>
      </w:pPr>
      <w:r>
        <w:t xml:space="preserve"> Jupiter Perps is relevant and should stay in scope, but its canonical position is source-authority blocked: first-party docs support lifecycle semantics, while binary account decoding and deterministic request-to-position pairing require a current Jupiter-confirmed IDL/source or hashable artifact.</w:t>
      </w:r>
    </w:p>
    <w:p>
      <w:pPr>
        <w:pStyle w:val="ListBullet"/>
        <w:spacing w:after="80"/>
        <w:ind w:left="540" w:hanging="279"/>
      </w:pPr>
      <w:r>
        <w:t xml:space="preserve"> Phoenix/Rise is now a source-pinned follow-on venue lane because public gold and crude-oil perps surfaces expose mark, index, volume, open interest, funding, and market state. Production program and Hawkeye view constants are source-pinned from Ellipsis Labs Rise, and a Phoenix/Hawkeye validator-plan contract records scrubbed fixture gates, while exact oracle/input identities, account-level decode, trader monitoring, and replay remain blocked.</w:t>
      </w:r>
    </w:p>
    <w:p>
      <w:pPr>
        <w:pStyle w:val="ListBullet"/>
        <w:spacing w:after="80"/>
        <w:ind w:left="540" w:hanging="279"/>
      </w:pPr>
      <w:r>
        <w:t xml:space="preserve"> Frontier Traders creates a review-only design-partner channel for professional trader reliability feedback, but it does not establish Blocksize access, demand, or endorsement.</w:t>
      </w:r>
    </w:p>
    <w:p>
      <w:pPr>
        <w:pStyle w:val="ListBullet"/>
        <w:spacing w:after="80"/>
        <w:ind w:left="540" w:hanging="279"/>
      </w:pPr>
      <w:r>
        <w:t xml:space="preserve"> Pay.sh, Solana Subscriptions, and Commerce Kit are useful for future commercial packaging and revenue-routing clarity. They should stay outside the grant-funded public-good core unless explicitly framed as optional or convertible-grant scope.</w:t>
      </w:r>
    </w:p>
    <w:p>
      <w:pPr>
        <w:pStyle w:val="ListBullet"/>
        <w:spacing w:after="80"/>
        <w:ind w:left="540" w:hanging="279"/>
      </w:pPr>
      <w:r>
        <w:t xml:space="preserve"> The 100M-CU block-capacity activation adds a new benchmark regime for aggregate block headroom, unchanged hot-account contention, replay, catchup, and downstream infrastructure behavior. It is context for reliability methodology, not evidence of measured performance improvement.</w:t>
      </w:r>
    </w:p>
    <w:p>
      <w:pPr>
        <w:pStyle w:val="ListBullet"/>
        <w:spacing w:after="80"/>
        <w:ind w:left="540" w:hanging="279"/>
      </w:pPr>
      <w:r>
        <w:t xml:space="preserve"> Network changes around VAT, Alpenglow, Agave, Firedancer, and DoubleZero make validator/client/transport context relevant to perps reliability, but releases, schedules, and gossip records do not prove Blocksize adoption or measured performance gains.</w:t>
      </w:r>
    </w:p>
    <w:p>
      <w:r>
        <w:br w:type="page"/>
      </w:r>
    </w:p>
    <w:p>
      <w:pPr>
        <w:pStyle w:val="Heading1"/>
      </w:pPr>
      <w:r>
        <w:t>Milestones And Budget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1900"/>
        <w:gridCol w:w="1100"/>
        <w:gridCol w:w="3350"/>
        <w:gridCol w:w="3010"/>
      </w:tblGrid>
      <w:tr>
        <w:trPr>
          <w:tblHeader w:val="true"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11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Funding</w:t>
            </w:r>
          </w:p>
        </w:tc>
        <w:tc>
          <w:tcPr>
            <w:tcW w:type="dxa" w:w="3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Core Deliverables</w:t>
            </w:r>
          </w:p>
        </w:tc>
        <w:tc>
          <w:tcPr>
            <w:tcW w:type="dxa" w:w="30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1. Adapter and architecture foundation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$25,000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Architecture v0, ADRs, adapter standard, capability matrix, Rust workspace, fixture-backed Drift read-only adapter, source-authority records.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 repo, compile-passing workspace, adapter metadata, execute-disabled safety tests, source-review validators.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2. Canonical data and sample datasets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$35,000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Canonical event envelope, dataset manifest, DQ gates, scrub policy, golden fixtures, Drift liquidation-history probe contract.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Rust schema types, JSON examples, checksum-bearing fixture manifest, scrubbed discovery-output schema.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3. Pyth-aware risk SDK and dry-run replay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$40,000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Oracle staleness/confidence/divergence primitives, liquidation state, dry-run outputs, reason taxonomy.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Unit tests, dry-run samples, no-signing transaction-plan guardrails.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4. Public dashboard/API contract and final report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$25,000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Public API schema, dashboard view contract, demo narrative, source-governed methodology, limitations, and venue-readiness matrix.</w:t>
            </w:r>
          </w:p>
        </w:tc>
        <w:tc>
          <w:tcPr>
            <w:tcW w:type="dxa" w:w="3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Schema files, sample responses, final report, reproducible demo path, Railway and GitHub Pages proof links.</w:t>
            </w:r>
          </w:p>
        </w:tc>
      </w:tr>
    </w:tbl>
    <w:p/>
    <w:p>
      <w:pPr>
        <w:pStyle w:val="Heading1"/>
      </w:pPr>
      <w:r>
        <w:t>Product And Adoption Metrics</w:t>
      </w:r>
    </w:p>
    <w:p>
      <w:pPr>
        <w:pStyle w:val="Heading2"/>
      </w:pPr>
      <w:r>
        <w:t>Developer-tooling metrics</w:t>
      </w:r>
    </w:p>
    <w:p>
      <w:pPr>
        <w:pStyle w:val="ListBullet"/>
        <w:spacing w:after="80"/>
        <w:ind w:left="540" w:hanging="279"/>
      </w:pPr>
      <w:r>
        <w:t xml:space="preserve"> GitHub stars, forks, issues, and adapter requests from Solana builders and researchers.</w:t>
      </w:r>
    </w:p>
    <w:p>
      <w:pPr>
        <w:pStyle w:val="ListBullet"/>
        <w:spacing w:after="80"/>
        <w:ind w:left="540" w:hanging="279"/>
      </w:pPr>
      <w:r>
        <w:t xml:space="preserve"> Adapter standard reuse or comments by perps and infrastructure teams.</w:t>
      </w:r>
    </w:p>
    <w:p>
      <w:pPr>
        <w:pStyle w:val="ListBullet"/>
        <w:spacing w:after="80"/>
        <w:ind w:left="540" w:hanging="279"/>
      </w:pPr>
      <w:r>
        <w:t xml:space="preserve"> Number of public fixture runs and replay examples.</w:t>
      </w:r>
    </w:p>
    <w:p>
      <w:pPr>
        <w:pStyle w:val="ListBullet"/>
        <w:spacing w:after="80"/>
        <w:ind w:left="540" w:hanging="279"/>
      </w:pPr>
      <w:r>
        <w:t xml:space="preserve"> Number of supported markets and venues in read-only mode.</w:t>
      </w:r>
    </w:p>
    <w:p>
      <w:pPr>
        <w:pStyle w:val="ListBullet"/>
        <w:spacing w:after="80"/>
        <w:ind w:left="540" w:hanging="279"/>
      </w:pPr>
      <w:r>
        <w:t xml:space="preserve"> Public dataset downloads or downstream notebooks.</w:t>
      </w:r>
    </w:p>
    <w:p>
      <w:pPr>
        <w:pStyle w:val="ListBullet"/>
        <w:spacing w:after="80"/>
        <w:ind w:left="540" w:hanging="279"/>
      </w:pPr>
      <w:r>
        <w:t xml:space="preserve"> Dashboard/API schema consumers.</w:t>
      </w:r>
    </w:p>
    <w:p>
      <w:pPr>
        <w:pStyle w:val="ListBullet"/>
        <w:spacing w:after="80"/>
        <w:ind w:left="540" w:hanging="279"/>
      </w:pPr>
      <w:r>
        <w:t xml:space="preserve"> Source-authority confirmations, issue comments, or protocol maintainer reviews that unblock adapter promotion.</w:t>
      </w:r>
    </w:p>
    <w:p>
      <w:pPr>
        <w:pStyle w:val="Heading2"/>
      </w:pPr>
      <w:r>
        <w:t>Technical quality metrics</w:t>
      </w:r>
    </w:p>
    <w:p>
      <w:pPr>
        <w:pStyle w:val="ListBullet"/>
        <w:spacing w:after="80"/>
        <w:ind w:left="540" w:hanging="279"/>
      </w:pPr>
      <w:r>
        <w:t xml:space="preserve"> Adapter decode success rate and schema mismatch rate.</w:t>
      </w:r>
    </w:p>
    <w:p>
      <w:pPr>
        <w:pStyle w:val="ListBullet"/>
        <w:spacing w:after="80"/>
        <w:ind w:left="540" w:hanging="279"/>
      </w:pPr>
      <w:r>
        <w:t xml:space="preserve"> Oracle stale, wide, missing, or divergent feed counts.</w:t>
      </w:r>
    </w:p>
    <w:p>
      <w:pPr>
        <w:pStyle w:val="ListBullet"/>
        <w:spacing w:after="80"/>
        <w:ind w:left="540" w:hanging="279"/>
      </w:pPr>
      <w:r>
        <w:t xml:space="preserve"> Dry-run reason-code distribution.</w:t>
      </w:r>
    </w:p>
    <w:p>
      <w:pPr>
        <w:pStyle w:val="ListBullet"/>
        <w:spacing w:after="80"/>
        <w:ind w:left="540" w:hanging="279"/>
      </w:pPr>
      <w:r>
        <w:t xml:space="preserve"> Fixture replay pass/fail status.</w:t>
      </w:r>
    </w:p>
    <w:p>
      <w:pPr>
        <w:pStyle w:val="ListBullet"/>
        <w:spacing w:after="80"/>
        <w:ind w:left="540" w:hanging="279"/>
      </w:pPr>
      <w:r>
        <w:t xml:space="preserve"> Dataset publish gate pass/warn/block status.</w:t>
      </w:r>
    </w:p>
    <w:p>
      <w:pPr>
        <w:pStyle w:val="ListBullet"/>
        <w:spacing w:after="80"/>
        <w:ind w:left="540" w:hanging="279"/>
      </w:pPr>
      <w:r>
        <w:t xml:space="preserve"> Source-review approval status by account type, program ID, commit/hash, and public regression fixture availability.</w:t>
      </w:r>
    </w:p>
    <w:p>
      <w:pPr>
        <w:pStyle w:val="Heading1"/>
      </w:pPr>
      <w:r>
        <w:t>Public-Good Value</w:t>
      </w:r>
    </w:p>
    <w:p>
      <w:r>
        <w:t>The project turns private reliability knowledge into reusable Solana developer tooling: open adapters, open risk primitives, open data schemas, open replay and dry-run contracts, public sample datasets, public dashboard/API methodology, and clear limitations.</w:t>
      </w:r>
    </w:p>
    <w:p>
      <w:pPr>
        <w:pStyle w:val="Heading1"/>
      </w:pPr>
      <w:r>
        <w:t>Commercial Boundary</w:t>
      </w:r>
    </w:p>
    <w:p>
      <w:r>
        <w:t>Blocksize may later build commercial services around managed integrations, premium APIs, private analytics, and controlled execution tooling. Those are outside this grant. Grant-funded work remains public, reproducible, read-only, and no-signing. Commercial work cannot privatize the OSS artifacts funded by the grant.</w:t>
      </w:r>
    </w:p>
    <w:p>
      <w:pPr>
        <w:pStyle w:val="Heading1"/>
      </w:pPr>
      <w:r>
        <w:t>Current Proof Of Work</w:t>
      </w:r>
    </w:p>
    <w:p>
      <w:pPr>
        <w:pStyle w:val="ListBullet"/>
        <w:spacing w:after="80"/>
        <w:ind w:left="540" w:hanging="279"/>
      </w:pPr>
      <w:r>
        <w:t xml:space="preserve"> OSS hygiene files and GitHub workflow.</w:t>
      </w:r>
    </w:p>
    <w:p>
      <w:pPr>
        <w:pStyle w:val="ListBullet"/>
        <w:spacing w:after="80"/>
        <w:ind w:left="540" w:hanging="279"/>
      </w:pPr>
      <w:r>
        <w:t xml:space="preserve"> Architecture docs, roadmap, work packages, and ADRs.</w:t>
      </w:r>
    </w:p>
    <w:p>
      <w:pPr>
        <w:pStyle w:val="ListBullet"/>
        <w:spacing w:after="80"/>
        <w:ind w:left="540" w:hanging="279"/>
      </w:pPr>
      <w:r>
        <w:t xml:space="preserve"> Rust workspace with core crates.</w:t>
      </w:r>
    </w:p>
    <w:p>
      <w:pPr>
        <w:pStyle w:val="ListBullet"/>
        <w:spacing w:after="80"/>
        <w:ind w:left="540" w:hanging="279"/>
      </w:pPr>
      <w:r>
        <w:t xml:space="preserve"> Fixture-backed Drift read-only adapter.</w:t>
      </w:r>
    </w:p>
    <w:p>
      <w:pPr>
        <w:pStyle w:val="ListBullet"/>
        <w:spacing w:after="80"/>
        <w:ind w:left="540" w:hanging="279"/>
      </w:pPr>
      <w:r>
        <w:t xml:space="preserve"> Adapter metadata and capability model.</w:t>
      </w:r>
    </w:p>
    <w:p>
      <w:pPr>
        <w:pStyle w:val="ListBullet"/>
        <w:spacing w:after="80"/>
        <w:ind w:left="540" w:hanging="279"/>
      </w:pPr>
      <w:r>
        <w:t xml:space="preserve"> Canonical event and dataset manifest types.</w:t>
      </w:r>
    </w:p>
    <w:p>
      <w:pPr>
        <w:pStyle w:val="ListBullet"/>
        <w:spacing w:after="80"/>
        <w:ind w:left="540" w:hanging="279"/>
      </w:pPr>
      <w:r>
        <w:t xml:space="preserve"> Data quality publish gate and scrub policy types.</w:t>
      </w:r>
    </w:p>
    <w:p>
      <w:pPr>
        <w:pStyle w:val="ListBullet"/>
        <w:spacing w:after="80"/>
        <w:ind w:left="540" w:hanging="279"/>
      </w:pPr>
      <w:r>
        <w:t xml:space="preserve"> Pyth-aware risk primitives with unit tests.</w:t>
      </w:r>
    </w:p>
    <w:p>
      <w:pPr>
        <w:pStyle w:val="ListBullet"/>
        <w:spacing w:after="80"/>
        <w:ind w:left="540" w:hanging="279"/>
      </w:pPr>
      <w:r>
        <w:t xml:space="preserve"> Replay fixture and dry-run output contracts.</w:t>
      </w:r>
    </w:p>
    <w:p>
      <w:pPr>
        <w:pStyle w:val="ListBullet"/>
        <w:spacing w:after="80"/>
        <w:ind w:left="540" w:hanging="279"/>
      </w:pPr>
      <w:r>
        <w:t xml:space="preserve"> Data reconstruction envelope schema with provider, commitment, slot range, evidence references, known gaps, and scrub-policy validation.</w:t>
      </w:r>
    </w:p>
    <w:p>
      <w:pPr>
        <w:pStyle w:val="ListBullet"/>
        <w:spacing w:after="80"/>
        <w:ind w:left="540" w:hanging="279"/>
      </w:pPr>
      <w:r>
        <w:t xml:space="preserve"> Expanded Solana runtime failure reason codes for deterministic dry-run explanation.</w:t>
      </w:r>
    </w:p>
    <w:p>
      <w:pPr>
        <w:pStyle w:val="ListBullet"/>
        <w:spacing w:after="80"/>
        <w:ind w:left="540" w:hanging="279"/>
      </w:pPr>
      <w:r>
        <w:t xml:space="preserve"> Read-only target discovery command for Helius-backed Drift/Jupiter proof setup; first local run now succeeds and writes scrubbed output under target/.</w:t>
      </w:r>
    </w:p>
    <w:p>
      <w:pPr>
        <w:pStyle w:val="ListBullet"/>
        <w:spacing w:after="80"/>
        <w:ind w:left="540" w:hanging="279"/>
      </w:pPr>
      <w:r>
        <w:t xml:space="preserve"> Jupiter source-authority confirmation packet and send-ready outbound note.</w:t>
      </w:r>
    </w:p>
    <w:p>
      <w:pPr>
        <w:pStyle w:val="ListBullet"/>
        <w:spacing w:after="80"/>
        <w:ind w:left="540" w:hanging="279"/>
      </w:pPr>
      <w:r>
        <w:t xml:space="preserve"> Source-review record schema and examples for Jupiter authority confirmation and Drift public-field promotion.</w:t>
      </w:r>
    </w:p>
    <w:p>
      <w:pPr>
        <w:pStyle w:val="ListBullet"/>
        <w:spacing w:after="80"/>
        <w:ind w:left="540" w:hanging="279"/>
      </w:pPr>
      <w:r>
        <w:t xml:space="preserve"> Scrubbed Drift liquidation-history probe schema, validator, and bounded discovery output contract.</w:t>
      </w:r>
    </w:p>
    <w:p>
      <w:pPr>
        <w:pStyle w:val="ListBullet"/>
        <w:spacing w:after="80"/>
        <w:ind w:left="540" w:hanging="279"/>
      </w:pPr>
      <w:r>
        <w:t xml:space="preserve"> Drift legacy liquidation-history diligence has scanned 266,000 finalized program transactions from July 22 back through slot 415904436 at 2026-04-27T01:47:05Z without a matching Liquidate* log; this is queue progress only, not evidence that liquidations were absent.</w:t>
      </w:r>
    </w:p>
    <w:p>
      <w:pPr>
        <w:pStyle w:val="ListBullet"/>
        <w:spacing w:after="80"/>
        <w:ind w:left="540" w:hanging="279"/>
      </w:pPr>
      <w:r>
        <w:t xml:space="preserve"> Continuous Solana ecosystem research loop with hot state, evidence ledger, opportunity pipeline, and checkpoint archive.</w:t>
      </w:r>
    </w:p>
    <w:p>
      <w:pPr>
        <w:pStyle w:val="ListBullet"/>
        <w:spacing w:after="80"/>
        <w:ind w:left="540" w:hanging="279"/>
      </w:pPr>
      <w:r>
        <w:t xml:space="preserve"> Hosted Railway proof-pack MVP and dashboard with filtered GitHub Pages fallback.</w:t>
      </w:r>
    </w:p>
    <w:p>
      <w:pPr>
        <w:pStyle w:val="ListBullet"/>
        <w:spacing w:after="80"/>
        <w:ind w:left="540" w:hanging="279"/>
      </w:pPr>
      <w:r>
        <w:t xml:space="preserve"> Hourly hosted smoke monitoring and public artifact boundary checks.</w:t>
      </w:r>
    </w:p>
    <w:p>
      <w:pPr>
        <w:pStyle w:val="ListBullet"/>
        <w:spacing w:after="80"/>
        <w:ind w:left="540" w:hanging="279"/>
      </w:pPr>
      <w:r>
        <w:t xml:space="preserve"> Grant package and application draft.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3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D78"/>
                <w:sz w:val="20"/>
              </w:rPr>
              <w:t>Reviewer proof pack</w:t>
            </w:r>
          </w:p>
          <w:p>
            <w:pPr>
              <w:spacing w:after="0"/>
            </w:pPr>
            <w:r>
              <w:rPr>
                <w:sz w:val="20"/>
              </w:rPr>
              <w:t>Canonical proof pack: https://refreshing-art-production-86de.up.railway.app/. Dashboard: https://refreshing-art-production-86de.up.railway.app/apps/dashboard/. GitHub Pages remains an equivalent filtered fallback. The MVP proof checklist maps claims to URLs, schemas, fixtures, and validation commands in docs/mvp-proof-checklist.md.</w:t>
            </w:r>
          </w:p>
        </w:tc>
      </w:tr>
    </w:tbl>
    <w:p/>
    <w:p>
      <w:pPr>
        <w:pStyle w:val="Heading1"/>
      </w:pPr>
      <w:r>
        <w:t>Why Blocksize</w:t>
      </w:r>
    </w:p>
    <w:p>
      <w:r>
        <w:t>Blocksize brings Solana infrastructure experience, validator/reliability context, Pyth data-provider experience, and prior liquidation/reliability research. The team understands the difference between public-good methodology and private execution alpha, which is important for keeping this grant clean.</w:t>
      </w:r>
    </w:p>
    <w:p>
      <w:r>
        <w:t>The project benefits from a disciplined scope boundary: no signing, no custody, no production execution, and no capital deployment in the grant phase. That makes the first phase useful to the ecosystem while avoiding the security, market-conduct, and compliance risks of live liquidation operations.</w:t>
      </w:r>
    </w:p>
    <w:p>
      <w:pPr>
        <w:pStyle w:val="Heading1"/>
      </w:pPr>
      <w:r>
        <w:t>Risks And Mitigations</w:t>
      </w:r>
    </w:p>
    <w:p>
      <w:pPr>
        <w:pStyle w:val="ListNumber"/>
        <w:spacing w:after="80"/>
        <w:ind w:left="540" w:hanging="279"/>
      </w:pPr>
      <w:r>
        <w:t>Perps-specific historical liquidation data is thin. Mitigation: Start with fixture-backed Drift adapter shape tests, synthetic golden fixtures, and explicit data-quality caveats before claiming replay coverage.</w:t>
      </w:r>
    </w:p>
    <w:p>
      <w:pPr>
        <w:pStyle w:val="ListNumber"/>
        <w:spacing w:after="80"/>
        <w:ind w:left="540" w:hanging="279"/>
      </w:pPr>
      <w:r>
        <w:t>Venue schemas drift. Mitigation: Adapter metadata includes program IDs, schema versions, supported account schema versions, IDL hash, source update timestamps, and caveats.</w:t>
      </w:r>
    </w:p>
    <w:p>
      <w:pPr>
        <w:pStyle w:val="ListNumber"/>
        <w:spacing w:after="80"/>
        <w:ind w:left="540" w:hanging="279"/>
      </w:pPr>
      <w:r>
        <w:t>Jupiter source authority is not yet canonical. Mitigation: Use first-party Jupiter docs only for semantic labels. Keep binary decode, deterministic request/fulfillment pairing, and historical replay blocked until Jupiter provides or confirms a current hashable IDL/source and fixtures.</w:t>
      </w:r>
    </w:p>
    <w:p>
      <w:pPr>
        <w:pStyle w:val="ListNumber"/>
        <w:spacing w:after="80"/>
        <w:ind w:left="540" w:hanging="279"/>
      </w:pPr>
      <w:r>
        <w:t>Phoenix public telemetry is not yet account-level replay proof. Mitigation: Use public GOLD and external-asset surfaces plus source-pinned program/Hawkeye constants for adapter-contract design while keeping exact oracle inputs, account layouts, and transaction fixtures as explicit gates.</w:t>
      </w:r>
    </w:p>
    <w:p>
      <w:pPr>
        <w:pStyle w:val="ListNumber"/>
        <w:spacing w:after="80"/>
        <w:ind w:left="540" w:hanging="279"/>
      </w:pPr>
      <w:r>
        <w:t>Research findings could drift into overclaiming. Mitigation: Maintain the Solana ecosystem loop as source-backed project memory, separate fact from inference, and require proof artifacts before promoting any partner, demand, revenue, or protocol-safety claim.</w:t>
      </w:r>
    </w:p>
    <w:p>
      <w:pPr>
        <w:pStyle w:val="ListNumber"/>
        <w:spacing w:after="80"/>
        <w:ind w:left="540" w:hanging="279"/>
      </w:pPr>
      <w:r>
        <w:t>Public datasets leak private information. Mitigation: Publish gates and scrub policy remove RPC URLs, API keys, internal paths, route labels, private strategy thresholds, capital controls, and signer/custody metadata.</w:t>
      </w:r>
    </w:p>
    <w:p>
      <w:pPr>
        <w:pStyle w:val="ListNumber"/>
        <w:spacing w:after="80"/>
        <w:ind w:left="540" w:hanging="279"/>
      </w:pPr>
      <w:r>
        <w:t>Historical Helius decode proof is not complete yet. Mitigation: The local read-only target discovery command succeeds, but deeper Drift market/oracle and Jupiter pool/custody decode coverage still needs public target resolution and scrubbed proof output before it can be claimed.</w:t>
      </w:r>
    </w:p>
    <w:p>
      <w:pPr>
        <w:pStyle w:val="ListNumber"/>
        <w:spacing w:after="80"/>
        <w:ind w:left="540" w:hanging="279"/>
      </w:pPr>
      <w:r>
        <w:t>Project scope creeps into execution. Mitigation: Dry-run transaction plans require requires_signer=false and submission_disabled=true; production execution remains out of scope.</w:t>
      </w:r>
    </w:p>
    <w:p>
      <w:pPr>
        <w:pStyle w:val="ListNumber"/>
        <w:spacing w:after="80"/>
        <w:ind w:left="540" w:hanging="279"/>
      </w:pPr>
      <w:r>
        <w:t>Commercial track could confuse grant reviewers. Mitigation: Grant-funded outputs are explicitly public-good OSS. Commercial services are disclosed as future/out-of-scope and cannot privatize grant-funded modules.</w:t>
      </w:r>
    </w:p>
    <w:p>
      <w:pPr>
        <w:pStyle w:val="Heading1"/>
      </w:pPr>
      <w:r>
        <w:t>Submission Notes</w:t>
      </w:r>
    </w:p>
    <w:p>
      <w:pPr>
        <w:pStyle w:val="ListBullet"/>
        <w:spacing w:after="80"/>
        <w:ind w:left="540" w:hanging="279"/>
      </w:pPr>
      <w:r>
        <w:t xml:space="preserve"> Recommended funding category: Developer Tooling.</w:t>
      </w:r>
    </w:p>
    <w:p>
      <w:pPr>
        <w:pStyle w:val="ListBullet"/>
        <w:spacing w:after="80"/>
        <w:ind w:left="540" w:hanging="279"/>
      </w:pPr>
      <w:r>
        <w:t xml:space="preserve"> Recommended form amount: $125,000.</w:t>
      </w:r>
    </w:p>
    <w:p>
      <w:pPr>
        <w:pStyle w:val="ListBullet"/>
        <w:spacing w:after="80"/>
        <w:ind w:left="540" w:hanging="279"/>
      </w:pPr>
      <w:r>
        <w:t xml:space="preserve"> Recommended on-chain accounts field: N/A - read-only and dry-run only.</w:t>
      </w:r>
    </w:p>
    <w:p>
      <w:pPr>
        <w:pStyle w:val="ListBullet"/>
        <w:spacing w:after="80"/>
        <w:ind w:left="540" w:hanging="279"/>
      </w:pPr>
      <w:r>
        <w:t xml:space="preserve"> Recommended project/idea field: short summary plus this proposal document and public GitHub repo.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