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Pyth-aware risk primitives, normalized market-quality data, deterministic dry-run liquidation replay, and public dashboard/API schemas.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execution reliability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>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>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>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>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>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>Adapter standard for read-only Solana perps venue integrations.</w:t>
      </w:r>
    </w:p>
    <w:p>
      <w:pPr>
        <w:pStyle w:val="ListBullet"/>
        <w:spacing w:after="80"/>
        <w:ind w:left="540" w:hanging="279"/>
      </w:pPr>
      <w:r>
        <w:t>First fixture-backed Drift read-only adapter.</w:t>
      </w:r>
    </w:p>
    <w:p>
      <w:pPr>
        <w:pStyle w:val="ListBullet"/>
        <w:spacing w:after="80"/>
        <w:ind w:left="540" w:hanging="279"/>
      </w:pPr>
      <w:r>
        <w:t>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>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>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>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>Pyth confidence, exponent, publish time, and freshness.</w:t>
      </w:r>
    </w:p>
    <w:p>
      <w:pPr>
        <w:pStyle w:val="ListBullet"/>
        <w:spacing w:after="80"/>
        <w:ind w:left="540" w:hanging="279"/>
      </w:pPr>
      <w:r>
        <w:t>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>Venue-specific program accounts and event layouts.</w:t>
      </w:r>
    </w:p>
    <w:p>
      <w:pPr>
        <w:pStyle w:val="ListBullet"/>
        <w:spacing w:after="80"/>
        <w:ind w:left="540" w:hanging="279"/>
      </w:pPr>
      <w:r>
        <w:t>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>Onchain liquidation and margin semantics that differ by Solana venue.</w:t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methodology, limitations.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>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>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>Number of public fixture runs and replay examples.</w:t>
      </w:r>
    </w:p>
    <w:p>
      <w:pPr>
        <w:pStyle w:val="ListBullet"/>
        <w:spacing w:after="80"/>
        <w:ind w:left="540" w:hanging="279"/>
      </w:pPr>
      <w:r>
        <w:t>Number of supported markets and venues in read-only mode.</w:t>
      </w:r>
    </w:p>
    <w:p>
      <w:pPr>
        <w:pStyle w:val="ListBullet"/>
        <w:spacing w:after="80"/>
        <w:ind w:left="540" w:hanging="279"/>
      </w:pPr>
      <w:r>
        <w:t>Public dataset downloads or downstream notebooks.</w:t>
      </w:r>
    </w:p>
    <w:p>
      <w:pPr>
        <w:pStyle w:val="ListBullet"/>
        <w:spacing w:after="80"/>
        <w:ind w:left="540" w:hanging="279"/>
      </w:pPr>
      <w:r>
        <w:t>Dashboard/API schema consumers.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>Adapter decode success rate and schema mismatch rate.</w:t>
      </w:r>
    </w:p>
    <w:p>
      <w:pPr>
        <w:pStyle w:val="ListBullet"/>
        <w:spacing w:after="80"/>
        <w:ind w:left="540" w:hanging="279"/>
      </w:pPr>
      <w:r>
        <w:t>Oracle stale, wide, missing, or divergent feed counts.</w:t>
      </w:r>
    </w:p>
    <w:p>
      <w:pPr>
        <w:pStyle w:val="ListBullet"/>
        <w:spacing w:after="80"/>
        <w:ind w:left="540" w:hanging="279"/>
      </w:pPr>
      <w:r>
        <w:t>Dry-run reason-code distribution.</w:t>
      </w:r>
    </w:p>
    <w:p>
      <w:pPr>
        <w:pStyle w:val="ListBullet"/>
        <w:spacing w:after="80"/>
        <w:ind w:left="540" w:hanging="279"/>
      </w:pPr>
      <w:r>
        <w:t>Fixture replay pass/fail status.</w:t>
      </w:r>
    </w:p>
    <w:p>
      <w:pPr>
        <w:pStyle w:val="ListBullet"/>
        <w:spacing w:after="80"/>
        <w:ind w:left="540" w:hanging="279"/>
      </w:pPr>
      <w:r>
        <w:t>Dataset publish gate pass/warn/block status.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>OSS hygiene files and GitHub workflow.</w:t>
      </w:r>
    </w:p>
    <w:p>
      <w:pPr>
        <w:pStyle w:val="ListBullet"/>
        <w:spacing w:after="80"/>
        <w:ind w:left="540" w:hanging="279"/>
      </w:pPr>
      <w:r>
        <w:t>Architecture docs, roadmap, work packages, and ADRs.</w:t>
      </w:r>
    </w:p>
    <w:p>
      <w:pPr>
        <w:pStyle w:val="ListBullet"/>
        <w:spacing w:after="80"/>
        <w:ind w:left="540" w:hanging="279"/>
      </w:pPr>
      <w:r>
        <w:t>Rust workspace with core crates.</w:t>
      </w:r>
    </w:p>
    <w:p>
      <w:pPr>
        <w:pStyle w:val="ListBullet"/>
        <w:spacing w:after="80"/>
        <w:ind w:left="540" w:hanging="279"/>
      </w:pPr>
      <w:r>
        <w:t>Fixture-backed Drift read-only adapter.</w:t>
      </w:r>
    </w:p>
    <w:p>
      <w:pPr>
        <w:pStyle w:val="ListBullet"/>
        <w:spacing w:after="80"/>
        <w:ind w:left="540" w:hanging="279"/>
      </w:pPr>
      <w:r>
        <w:t>Adapter metadata and capability model.</w:t>
      </w:r>
    </w:p>
    <w:p>
      <w:pPr>
        <w:pStyle w:val="ListBullet"/>
        <w:spacing w:after="80"/>
        <w:ind w:left="540" w:hanging="279"/>
      </w:pPr>
      <w:r>
        <w:t>Canonical event and dataset manifest types.</w:t>
      </w:r>
    </w:p>
    <w:p>
      <w:pPr>
        <w:pStyle w:val="ListBullet"/>
        <w:spacing w:after="80"/>
        <w:ind w:left="540" w:hanging="279"/>
      </w:pPr>
      <w:r>
        <w:t>Data quality publish gate and scrub policy types.</w:t>
      </w:r>
    </w:p>
    <w:p>
      <w:pPr>
        <w:pStyle w:val="ListBullet"/>
        <w:spacing w:after="80"/>
        <w:ind w:left="540" w:hanging="279"/>
      </w:pPr>
      <w:r>
        <w:t>Pyth-aware risk primitives with unit tests.</w:t>
      </w:r>
    </w:p>
    <w:p>
      <w:pPr>
        <w:pStyle w:val="ListBullet"/>
        <w:spacing w:after="80"/>
        <w:ind w:left="540" w:hanging="279"/>
      </w:pPr>
      <w:r>
        <w:t>Replay fixture and dry-run output contracts.</w:t>
      </w:r>
    </w:p>
    <w:p>
      <w:pPr>
        <w:pStyle w:val="ListBullet"/>
        <w:spacing w:after="80"/>
        <w:ind w:left="540" w:hanging="279"/>
      </w:pPr>
      <w:r>
        <w:t>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>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>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>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>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>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>Recommended funding category: Developer Tooling.</w:t>
      </w:r>
    </w:p>
    <w:p>
      <w:pPr>
        <w:pStyle w:val="ListBullet"/>
        <w:spacing w:after="80"/>
        <w:ind w:left="540" w:hanging="279"/>
      </w:pPr>
      <w:r>
        <w:t>Recommended form amount: $125,000.</w:t>
      </w:r>
    </w:p>
    <w:p>
      <w:pPr>
        <w:pStyle w:val="ListBullet"/>
        <w:spacing w:after="80"/>
        <w:ind w:left="540" w:hanging="279"/>
      </w:pPr>
      <w:r>
        <w:t>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>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