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scope. Account-layout decode is now source-authorized through the live onchain Anchor IDL, and local role-map probing can bind sampled public transactions to IDL instruction roles; deterministic request-to-position pairing, keeper semantics, and replay still require before/after lifecycle evidence and source-review gates.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and a Phoenix/Hawkeye validator-plan contract records scrubbed fixture gates, while exact oracle/input identities, account-level decode, trader monitoring, and replay remain blocked.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The 100M-CU block-capacity activation and the source-governed 400ms-to-350ms slot-time activation at slot 440208000 add new benchmark regimes for aggregate block headroom, slot-normalized landing, unchanged hot-account contention, replay, catchup, and downstream infrastructure behavior. They are context for reliability methodology, not evidence of measured performance improvement.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releases, schedules, and gossip records do not prove Blocksize adoption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318,000 finalized program transactions from July 22 back through slot 415091952 at 2026-04-23T08:31:20Z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Jupiter lifecycle role-map probe contract that binds sampled public transactions to hash-pinned onchain-IDL instruction roles while keeping signatures, account keys, raw instructions, raw transactions, verified pairing, keeper semantics, replay, and execution claims out of public artifacts.</w:t>
      </w:r>
    </w:p>
    <w:p>
      <w:pPr>
        <w:pStyle w:val="ListBullet"/>
        <w:spacing w:after="80"/>
        <w:ind w:left="540" w:hanging="279"/>
      </w:pPr>
      <w:r>
        <w:t xml:space="preserve"> Slot-regime benchmark package for the source-governed 400ms-to-350ms activation boundary at slot 440208000, with pre/post windows for future read-only normalization and explicit no-performance-claim gates.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lifecycle proof is not yet canonical. Mitigation: Use the live onchain Anchor IDL for account-layout decode and structural role-map probing only. Keep deterministic request/fulfillment pairing, keeper semantics, and historical replay blocked until before/after lifecycle evidence and source-review gates land.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and Jupiter layout/role-map commands succeed, but deeper Drift market economics, before/after Jupiter lifecycle state, and Phoenix account-level decode still need scrubbed proof output before they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