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source-governed decode records, Pyth-aware risk primitives, normalized market-quality data, fixture-backed deterministic dry-run reasoning, and public dashboard/API schemas.</w:t>
      </w:r>
    </w:p>
    <w:p>
      <w:r>
        <w:t>The current MVP is intentionally complementary infrastructure, not a venue. It gives builders and reviewers a reproducible way to inspect reliability evidence across Drift, Jupiter Perps, Phoenix/Rise, oracle inputs, and public proof packages while preserving a strict no-signing and no-production-execution boundary.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dry-run execution-failure methodology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 xml:space="preserve"> 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 xml:space="preserve"> 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 xml:space="preserve"> 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 xml:space="preserve"> 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 xml:space="preserve"> 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 xml:space="preserve"> Adapter standard for read-only Solana perps venue integrations.</w:t>
      </w:r>
    </w:p>
    <w:p>
      <w:pPr>
        <w:pStyle w:val="ListBullet"/>
        <w:spacing w:after="80"/>
        <w:ind w:left="540" w:hanging="279"/>
      </w:pPr>
      <w:r>
        <w:t xml:space="preserve"> First fixture-backed Drift read-only adapter.</w:t>
      </w:r>
    </w:p>
    <w:p>
      <w:pPr>
        <w:pStyle w:val="ListBullet"/>
        <w:spacing w:after="80"/>
        <w:ind w:left="540" w:hanging="279"/>
      </w:pPr>
      <w:r>
        <w:t xml:space="preserve"> Source-review records that gate binary decode and replay claims on canonical source authority.</w:t>
      </w:r>
    </w:p>
    <w:p>
      <w:pPr>
        <w:pStyle w:val="ListBullet"/>
        <w:spacing w:after="80"/>
        <w:ind w:left="540" w:hanging="279"/>
      </w:pPr>
      <w:r>
        <w:t xml:space="preserve"> 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 xml:space="preserve"> 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 xml:space="preserve"> 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 xml:space="preserve"> 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 xml:space="preserve"> Pyth confidence, exponent, publish time, and freshness.</w:t>
      </w:r>
    </w:p>
    <w:p>
      <w:pPr>
        <w:pStyle w:val="ListBullet"/>
        <w:spacing w:after="80"/>
        <w:ind w:left="540" w:hanging="279"/>
      </w:pPr>
      <w:r>
        <w:t xml:space="preserve"> 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 xml:space="preserve"> Venue-specific program accounts and event layouts.</w:t>
      </w:r>
    </w:p>
    <w:p>
      <w:pPr>
        <w:pStyle w:val="ListBullet"/>
        <w:spacing w:after="80"/>
        <w:ind w:left="540" w:hanging="279"/>
      </w:pPr>
      <w:r>
        <w:t xml:space="preserve"> 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 xml:space="preserve"> Onchain liquidation and margin semantics that differ by Solana venue.</w:t>
      </w:r>
    </w:p>
    <w:p>
      <w:pPr>
        <w:pStyle w:val="ListBullet"/>
        <w:spacing w:after="80"/>
        <w:ind w:left="540" w:hanging="279"/>
      </w:pPr>
      <w:r>
        <w:t xml:space="preserve"> Fast-moving network regimes such as VAT, Alpenglow, Agave, Firedancer, and DoubleZero transport changes.</w:t>
      </w:r>
    </w:p>
    <w:p>
      <w:pPr>
        <w:pStyle w:val="Heading1"/>
      </w:pPr>
      <w:r>
        <w:t>2026 Ecosystem Refresh And Grant Positioning</w:t>
      </w:r>
    </w:p>
    <w:p>
      <w:r>
        <w:t>The latest source-backed research strengthens the grant case while narrowing what should be claimed. Solana Foundation's 2026 Open Perps call explicitly welcomes complementary infrastructure around fully onchain perps; OPRS should therefore position the public-good core as reliability infrastructure rather than as execution, trading, or liquidation operations.</w:t>
      </w:r>
    </w:p>
    <w:p>
      <w:pPr>
        <w:pStyle w:val="ListBullet"/>
        <w:spacing w:after="80"/>
        <w:ind w:left="540" w:hanging="279"/>
      </w:pPr>
      <w:r>
        <w:t xml:space="preserve"> Drift remains the first fixture-backed adapter path. Historical liquidation reconstruction should advance only from public finalized transaction evidence and pinned legacy source, with migrated Velocity-hosted records used as discovery or corroboration rather than sole authority.</w:t>
      </w:r>
    </w:p>
    <w:p>
      <w:pPr>
        <w:pStyle w:val="ListBullet"/>
        <w:spacing w:after="80"/>
        <w:ind w:left="540" w:hanging="279"/>
      </w:pPr>
      <w:r>
        <w:t xml:space="preserve"> Jupiter Perps is relevant and should stay in scope, but its canonical position is source-authority blocked: first-party docs support lifecycle semantics, while binary account decoding and deterministic request-to-position pairing require a current Jupiter-confirmed IDL/source or hashable artifact.</w:t>
      </w:r>
    </w:p>
    <w:p>
      <w:pPr>
        <w:pStyle w:val="ListBullet"/>
        <w:spacing w:after="80"/>
        <w:ind w:left="540" w:hanging="279"/>
      </w:pPr>
      <w:r>
        <w:t xml:space="preserve"> Phoenix/Rise is now a source-pinned follow-on venue lane because public gold and crude-oil perps surfaces expose mark, index, volume, open interest, funding, and market state. Production program and Hawkeye view constants are source-pinned from Ellipsis Labs Rise, and a Phoenix/Hawkeye validator-plan contract records scrubbed fixture gates, while exact oracle/input identities, account-level decode, trader monitoring, and replay remain blocked.</w:t>
      </w:r>
    </w:p>
    <w:p>
      <w:pPr>
        <w:pStyle w:val="ListBullet"/>
        <w:spacing w:after="80"/>
        <w:ind w:left="540" w:hanging="279"/>
      </w:pPr>
      <w:r>
        <w:t xml:space="preserve"> Frontier Traders creates a review-only design-partner channel for professional trader reliability feedback, but it does not establish Blocksize access, demand, or endorsement.</w:t>
      </w:r>
    </w:p>
    <w:p>
      <w:pPr>
        <w:pStyle w:val="ListBullet"/>
        <w:spacing w:after="80"/>
        <w:ind w:left="540" w:hanging="279"/>
      </w:pPr>
      <w:r>
        <w:t xml:space="preserve"> Pay.sh, Solana Subscriptions, and Commerce Kit are useful for future commercial packaging and revenue-routing clarity. They should stay outside the grant-funded public-good core unless explicitly framed as optional or convertible-grant scope.</w:t>
      </w:r>
    </w:p>
    <w:p>
      <w:pPr>
        <w:pStyle w:val="ListBullet"/>
        <w:spacing w:after="80"/>
        <w:ind w:left="540" w:hanging="279"/>
      </w:pPr>
      <w:r>
        <w:t xml:space="preserve"> The 100M-CU block-capacity activation and the source-governed 400ms-to-350ms slot-time activation at slot 440208000 add new benchmark regimes for aggregate block headroom, slot-normalized landing, unchanged hot-account contention, replay, catchup, and downstream infrastructure behavior. They are context for reliability methodology, not evidence of measured performance improvement.</w:t>
      </w:r>
    </w:p>
    <w:p>
      <w:pPr>
        <w:pStyle w:val="ListBullet"/>
        <w:spacing w:after="80"/>
        <w:ind w:left="540" w:hanging="279"/>
      </w:pPr>
      <w:r>
        <w:t xml:space="preserve"> Network changes around VAT, Alpenglow, Agave, Firedancer, and DoubleZero make validator/client/transport context relevant to perps reliability, but releases, schedules, and gossip records do not prove Blocksize adoption or measured performance gains.</w:t>
      </w:r>
    </w:p>
    <w:p>
      <w:r>
        <w:br w:type="page"/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rPr>
          <w:tblHeader w:val="true"/>
          <w:cantSplit/>
        </w:trP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adapter, source-authority records.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tests, source-review validators.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fixtures, Drift liquidation-history probe contract.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manifest, scrubbed discovery-output schema.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source-governed methodology, limitations, and venue-readiness matrix.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path, Railway and GitHub Pages proof links.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 xml:space="preserve"> 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 xml:space="preserve"> 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 xml:space="preserve"> Number of public fixture runs and replay examples.</w:t>
      </w:r>
    </w:p>
    <w:p>
      <w:pPr>
        <w:pStyle w:val="ListBullet"/>
        <w:spacing w:after="80"/>
        <w:ind w:left="540" w:hanging="279"/>
      </w:pPr>
      <w:r>
        <w:t xml:space="preserve"> Number of supported markets and venues in read-only mode.</w:t>
      </w:r>
    </w:p>
    <w:p>
      <w:pPr>
        <w:pStyle w:val="ListBullet"/>
        <w:spacing w:after="80"/>
        <w:ind w:left="540" w:hanging="279"/>
      </w:pPr>
      <w:r>
        <w:t xml:space="preserve"> Public dataset downloads or downstream notebooks.</w:t>
      </w:r>
    </w:p>
    <w:p>
      <w:pPr>
        <w:pStyle w:val="ListBullet"/>
        <w:spacing w:after="80"/>
        <w:ind w:left="540" w:hanging="279"/>
      </w:pPr>
      <w:r>
        <w:t xml:space="preserve"> Dashboard/API schema consumers.</w:t>
      </w:r>
    </w:p>
    <w:p>
      <w:pPr>
        <w:pStyle w:val="ListBullet"/>
        <w:spacing w:after="80"/>
        <w:ind w:left="540" w:hanging="279"/>
      </w:pPr>
      <w:r>
        <w:t xml:space="preserve"> Source-authority confirmations, issue comments, or protocol maintainer reviews that unblock adapter promotion.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 xml:space="preserve"> Adapter decode success rate and schema mismatch rate.</w:t>
      </w:r>
    </w:p>
    <w:p>
      <w:pPr>
        <w:pStyle w:val="ListBullet"/>
        <w:spacing w:after="80"/>
        <w:ind w:left="540" w:hanging="279"/>
      </w:pPr>
      <w:r>
        <w:t xml:space="preserve"> Oracle stale, wide, missing, or divergent feed counts.</w:t>
      </w:r>
    </w:p>
    <w:p>
      <w:pPr>
        <w:pStyle w:val="ListBullet"/>
        <w:spacing w:after="80"/>
        <w:ind w:left="540" w:hanging="279"/>
      </w:pPr>
      <w:r>
        <w:t xml:space="preserve"> Dry-run reason-code distribution.</w:t>
      </w:r>
    </w:p>
    <w:p>
      <w:pPr>
        <w:pStyle w:val="ListBullet"/>
        <w:spacing w:after="80"/>
        <w:ind w:left="540" w:hanging="279"/>
      </w:pPr>
      <w:r>
        <w:t xml:space="preserve"> Fixture replay pass/fail status.</w:t>
      </w:r>
    </w:p>
    <w:p>
      <w:pPr>
        <w:pStyle w:val="ListBullet"/>
        <w:spacing w:after="80"/>
        <w:ind w:left="540" w:hanging="279"/>
      </w:pPr>
      <w:r>
        <w:t xml:space="preserve"> Dataset publish gate pass/warn/block status.</w:t>
      </w:r>
    </w:p>
    <w:p>
      <w:pPr>
        <w:pStyle w:val="ListBullet"/>
        <w:spacing w:after="80"/>
        <w:ind w:left="540" w:hanging="279"/>
      </w:pPr>
      <w:r>
        <w:t xml:space="preserve"> Source-review approval status by account type, program ID, commit/hash, and public regression fixture availability.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 xml:space="preserve"> OSS hygiene files and GitHub workflow.</w:t>
      </w:r>
    </w:p>
    <w:p>
      <w:pPr>
        <w:pStyle w:val="ListBullet"/>
        <w:spacing w:after="80"/>
        <w:ind w:left="540" w:hanging="279"/>
      </w:pPr>
      <w:r>
        <w:t xml:space="preserve"> Architecture docs, roadmap, work packages, and ADRs.</w:t>
      </w:r>
    </w:p>
    <w:p>
      <w:pPr>
        <w:pStyle w:val="ListBullet"/>
        <w:spacing w:after="80"/>
        <w:ind w:left="540" w:hanging="279"/>
      </w:pPr>
      <w:r>
        <w:t xml:space="preserve"> Rust workspace with core crates.</w:t>
      </w:r>
    </w:p>
    <w:p>
      <w:pPr>
        <w:pStyle w:val="ListBullet"/>
        <w:spacing w:after="80"/>
        <w:ind w:left="540" w:hanging="279"/>
      </w:pPr>
      <w:r>
        <w:t xml:space="preserve"> Fixture-backed Drift read-only adapter.</w:t>
      </w:r>
    </w:p>
    <w:p>
      <w:pPr>
        <w:pStyle w:val="ListBullet"/>
        <w:spacing w:after="80"/>
        <w:ind w:left="540" w:hanging="279"/>
      </w:pPr>
      <w:r>
        <w:t xml:space="preserve"> Adapter metadata and capability model.</w:t>
      </w:r>
    </w:p>
    <w:p>
      <w:pPr>
        <w:pStyle w:val="ListBullet"/>
        <w:spacing w:after="80"/>
        <w:ind w:left="540" w:hanging="279"/>
      </w:pPr>
      <w:r>
        <w:t xml:space="preserve"> Canonical event and dataset manifest types.</w:t>
      </w:r>
    </w:p>
    <w:p>
      <w:pPr>
        <w:pStyle w:val="ListBullet"/>
        <w:spacing w:after="80"/>
        <w:ind w:left="540" w:hanging="279"/>
      </w:pPr>
      <w:r>
        <w:t xml:space="preserve"> Data quality publish gate and scrub policy types.</w:t>
      </w:r>
    </w:p>
    <w:p>
      <w:pPr>
        <w:pStyle w:val="ListBullet"/>
        <w:spacing w:after="80"/>
        <w:ind w:left="540" w:hanging="279"/>
      </w:pPr>
      <w:r>
        <w:t xml:space="preserve"> Pyth-aware risk primitives with unit tests.</w:t>
      </w:r>
    </w:p>
    <w:p>
      <w:pPr>
        <w:pStyle w:val="ListBullet"/>
        <w:spacing w:after="80"/>
        <w:ind w:left="540" w:hanging="279"/>
      </w:pPr>
      <w:r>
        <w:t xml:space="preserve"> Replay fixture and dry-run output contracts.</w:t>
      </w:r>
    </w:p>
    <w:p>
      <w:pPr>
        <w:pStyle w:val="ListBullet"/>
        <w:spacing w:after="80"/>
        <w:ind w:left="540" w:hanging="279"/>
      </w:pPr>
      <w:r>
        <w:t xml:space="preserve"> 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 xml:space="preserve"> 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 xml:space="preserve"> 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 xml:space="preserve"> Jupiter source-authority confirmation packet and send-ready outbound note.</w:t>
      </w:r>
    </w:p>
    <w:p>
      <w:pPr>
        <w:pStyle w:val="ListBullet"/>
        <w:spacing w:after="80"/>
        <w:ind w:left="540" w:hanging="279"/>
      </w:pPr>
      <w:r>
        <w:t xml:space="preserve"> Source-review record schema and examples for Jupiter authority confirmation and Drift public-field promotion.</w:t>
      </w:r>
    </w:p>
    <w:p>
      <w:pPr>
        <w:pStyle w:val="ListBullet"/>
        <w:spacing w:after="80"/>
        <w:ind w:left="540" w:hanging="279"/>
      </w:pPr>
      <w:r>
        <w:t xml:space="preserve"> Scrubbed Drift liquidation-history probe schema, validator, and bounded discovery output contract.</w:t>
      </w:r>
    </w:p>
    <w:p>
      <w:pPr>
        <w:pStyle w:val="ListBullet"/>
        <w:spacing w:after="80"/>
        <w:ind w:left="540" w:hanging="279"/>
      </w:pPr>
      <w:r>
        <w:t xml:space="preserve"> Drift legacy liquidation-history diligence has scanned 278,000 finalized program transactions from July 22 back through slot 415733773 at 2026-04-26T07:00:53Z without a matching Liquidate* log; this is queue progress only, not evidence that liquidations were absent.</w:t>
      </w:r>
    </w:p>
    <w:p>
      <w:pPr>
        <w:pStyle w:val="ListBullet"/>
        <w:spacing w:after="80"/>
        <w:ind w:left="540" w:hanging="279"/>
      </w:pPr>
      <w:r>
        <w:t xml:space="preserve"> Continuous Solana ecosystem research loop with hot state, evidence ledger, opportunity pipeline, and checkpoint archive.</w:t>
      </w:r>
    </w:p>
    <w:p>
      <w:pPr>
        <w:pStyle w:val="ListBullet"/>
        <w:spacing w:after="80"/>
        <w:ind w:left="540" w:hanging="279"/>
      </w:pPr>
      <w:r>
        <w:t xml:space="preserve"> 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 xml:space="preserve"> 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 xml:space="preserve"> 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Jupiter source authority is not yet canonical. Mitigation: Use first-party Jupiter docs only for semantic labels. Keep binary decode, deterministic request/fulfillment pairing, and historical replay blocked until Jupiter provides or confirms a current hashable IDL/source and fixtures.</w:t>
      </w:r>
    </w:p>
    <w:p>
      <w:pPr>
        <w:pStyle w:val="ListNumber"/>
        <w:spacing w:after="80"/>
        <w:ind w:left="540" w:hanging="279"/>
      </w:pPr>
      <w:r>
        <w:t>Phoenix public telemetry is not yet account-level replay proof. Mitigation: Use public GOLD and external-asset surfaces plus source-pinned program/Hawkeye constants for adapter-contract design while keeping exact oracle inputs, account layouts, and transaction fixtures as explicit gates.</w:t>
      </w:r>
    </w:p>
    <w:p>
      <w:pPr>
        <w:pStyle w:val="ListNumber"/>
        <w:spacing w:after="80"/>
        <w:ind w:left="540" w:hanging="279"/>
      </w:pPr>
      <w:r>
        <w:t>Research findings could drift into overclaiming. Mitigation: Maintain the Solana ecosystem loop as source-backed project memory, separate fact from inference, and require proof artifacts before promoting any partner, demand, revenue, or protocol-safety claim.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command succeeds, but deeper Drift market/oracle and Jupiter pool/custody decode coverage still needs public target resolution and scrubbed proof output before it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 xml:space="preserve"> Recommended funding category: Developer Tooling.</w:t>
      </w:r>
    </w:p>
    <w:p>
      <w:pPr>
        <w:pStyle w:val="ListBullet"/>
        <w:spacing w:after="80"/>
        <w:ind w:left="540" w:hanging="279"/>
      </w:pPr>
      <w:r>
        <w:t xml:space="preserve"> Recommended form amount: $125,000.</w:t>
      </w:r>
    </w:p>
    <w:p>
      <w:pPr>
        <w:pStyle w:val="ListBullet"/>
        <w:spacing w:after="80"/>
        <w:ind w:left="540" w:hanging="279"/>
      </w:pPr>
      <w:r>
        <w:t xml:space="preserve"> 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 xml:space="preserve"> 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