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The Shape of the Term Structure of Credit Spreads: An Empirical Investigation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Liquidity premium (difference between the yield on the Refcorp bonds 10 and the yield on the treasury zero-coupon bonds for the corresponding maturity), interest rate, yield curve slope, yield curve curvature, stock return, stock volatility, credit spread slope (foundation of Merton’s model)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DETERMINANTS OF EURO TERM STRUCTURE OF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CREDIT SPREADS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changes in the level and the slope of the default-free term structure, the market return, implied volatility, and liquidity risk</w:t>
        <w:tab/>
        <w:tab/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The Term Structure of Credit Spreads: Theory and Evidence on Credit Default Swaps</w:t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default risk factor and a liquidity risk factor using CDS contracts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Litterman Iben JPM1991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z w:val="20"/>
          <w:szCs w:val="20"/>
          <w:rtl w:val="0"/>
        </w:rPr>
        <w:t xml:space="preserve">Price of corporate bond/Price of government bond</w:t>
      </w: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F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Macro Factors in the Term Structure of Credit Spreads</w:t>
      </w:r>
    </w:p>
    <w:p w:rsidR="00000000" w:rsidDel="00000000" w:rsidP="00000000" w:rsidRDefault="00000000" w:rsidRPr="00000000" w14:paraId="00000010">
      <w:pPr>
        <w:rPr>
          <w:sz w:val="48"/>
          <w:szCs w:val="48"/>
        </w:rPr>
      </w:pPr>
      <w:r w:rsidDel="00000000" w:rsidR="00000000" w:rsidRPr="00000000">
        <w:rPr>
          <w:sz w:val="20"/>
          <w:szCs w:val="20"/>
          <w:rtl w:val="0"/>
        </w:rPr>
        <w:t xml:space="preserve">indicator variable each of real activity (unemployment, growth rate of unemployement, industrial production), inflation (CPI, PPI, PCOM) and financial conditions (Credit Market Debt/Profit After Tax, net interest payments/GDP, Profit after tax/final sales of domestic product)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Features selected by Ito: (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Monthly: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Y: GS10 - BAA的diff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Elastic Net (optimal L1ratio= 0.7, optimAlpha= 0.0013664483492953259):</w:t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OILMR_Return         0.011252</w:t>
        <w:br w:type="textWrapping"/>
        <w:t xml:space="preserve">PCOPPUSDM_Return     0.158564</w:t>
        <w:br w:type="textWrapping"/>
        <w:t xml:space="preserve">CPIAUCSL_Return      2.433057</w:t>
        <w:br w:type="textWrapping"/>
        <w:t xml:space="preserve">PPIACO_Return        0.640079</w:t>
        <w:br w:type="textWrapping"/>
        <w:t xml:space="preserve">RU2000TR_Return      0.230188</w:t>
        <w:br w:type="textWrapping"/>
        <w:t xml:space="preserve">RU1000TR_Return      0.139052</w:t>
        <w:br w:type="textWrapping"/>
        <w:t xml:space="preserve">RU3000TR_Return      0.175667</w:t>
        <w:br w:type="textWrapping"/>
        <w:t xml:space="preserve">RUMIDCAPTR_Return    0.246615</w:t>
        <w:br w:type="textWrapping"/>
        <w:t xml:space="preserve">RMIDVLTR_Return      0.269391</w:t>
        <w:br w:type="textWrapping"/>
        <w:t xml:space="preserve">GS2_Difference       0.065481</w:t>
        <w:br w:type="textWrapping"/>
        <w:t xml:space="preserve">GS5_Difference       0.140369</w:t>
        <w:br w:type="textWrapping"/>
        <w:t xml:space="preserve">GS7_Difference       0.063546</w:t>
        <w:br w:type="textWrapping"/>
        <w:t xml:space="preserve">VXOCLS_Difference   -0.005655</w:t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Lasso:</w:t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OILMR_Return           0.162930</w:t>
        <w:br w:type="textWrapping"/>
        <w:t xml:space="preserve">PCOPPUSDM_Return       0.273957</w:t>
        <w:br w:type="textWrapping"/>
        <w:t xml:space="preserve">PSUGAISAUSDM_Return    0.052853</w:t>
        <w:br w:type="textWrapping"/>
        <w:t xml:space="preserve">RU2000TR_Return        0.147260</w:t>
        <w:br w:type="textWrapping"/>
        <w:t xml:space="preserve">RMIDVLTR_Return        0.306675</w:t>
        <w:br w:type="textWrapping"/>
        <w:t xml:space="preserve">NASDAQCOM_Return       0.056733</w:t>
        <w:br w:type="textWrapping"/>
        <w:t xml:space="preserve">T10Y2YM_Difference    -0.021139</w:t>
        <w:br w:type="textWrapping"/>
        <w:t xml:space="preserve">GS5_Difference         0.322382</w:t>
        <w:br w:type="textWrapping"/>
        <w:t xml:space="preserve">VIXCLS_Difference      0.029238</w:t>
        <w:br w:type="textWrapping"/>
        <w:t xml:space="preserve">VXOCLS_Difference     -0.040892</w:t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Quarterly: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Elastic Net (optimal L1ratio= 0.7, optimAlpha= 0.02868316813342012):</w:t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IPG2211A2N             0.000806</w:t>
        <w:br w:type="textWrapping"/>
        <w:t xml:space="preserve">NCBGCFQ027S_Return    -3.288788</w:t>
        <w:br w:type="textWrapping"/>
        <w:t xml:space="preserve">GDPDEF_Return        -10.272626</w:t>
        <w:br w:type="textWrapping"/>
        <w:t xml:space="preserve">CPIAUCSL_Return       -2.307912</w:t>
        <w:br w:type="textWrapping"/>
        <w:t xml:space="preserve">CPILFENS_Return       -0.812864</w:t>
        <w:br w:type="textWrapping"/>
        <w:t xml:space="preserve">RU1000VPR_Return      -0.007635</w:t>
        <w:br w:type="textWrapping"/>
        <w:t xml:space="preserve">RU1000TR_Return       -0.115760</w:t>
        <w:br w:type="textWrapping"/>
        <w:t xml:space="preserve">RU3000TR_Return       -0.048719</w:t>
        <w:br w:type="textWrapping"/>
        <w:t xml:space="preserve">UNRATE_Difference      0.012600</w:t>
        <w:br w:type="textWrapping"/>
        <w:t xml:space="preserve">INDPRO_Return         -5.889059</w:t>
        <w:br w:type="textWrapping"/>
        <w:t xml:space="preserve">IPMAN_Return          -5.512237</w:t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Lasso:</w:t>
      </w:r>
    </w:p>
    <w:p w:rsidR="00000000" w:rsidDel="00000000" w:rsidP="00000000" w:rsidRDefault="00000000" w:rsidRPr="00000000" w14:paraId="000000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IPG2211A2N    0.016904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