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18"/>
        </w:rPr>
      </w:pPr>
    </w:p>
    <w:p>
      <w:pPr>
        <w:pStyle w:val="BodyText"/>
        <w:spacing w:before="201"/>
        <w:rPr>
          <w:rFonts w:ascii="Times New Roman"/>
          <w:sz w:val="18"/>
        </w:rPr>
      </w:pPr>
    </w:p>
    <w:p>
      <w:pPr>
        <w:spacing w:before="0"/>
        <w:ind w:left="335" w:right="0" w:firstLine="0"/>
        <w:jc w:val="left"/>
        <w:rPr>
          <w:sz w:val="18"/>
        </w:rPr>
      </w:pPr>
      <w:r>
        <w:rPr>
          <w:color w:val="6B7280"/>
          <w:sz w:val="18"/>
        </w:rPr>
        <w:t>Contract No. ACME-2026-</w:t>
      </w:r>
      <w:r>
        <w:rPr>
          <w:color w:val="6B7280"/>
          <w:spacing w:val="-4"/>
          <w:sz w:val="18"/>
        </w:rPr>
        <w:t>0173</w:t>
      </w:r>
    </w:p>
    <w:p>
      <w:pPr>
        <w:pStyle w:val="Heading1"/>
      </w:pPr>
      <w:r>
        <w:rPr>
          <w:b w:val="0"/>
        </w:rPr>
        <w:br w:type="column"/>
      </w:r>
      <w:r>
        <w:rPr>
          <w:color w:val="153826"/>
        </w:rPr>
        <w:t>SERVICE </w:t>
      </w:r>
      <w:r>
        <w:rPr>
          <w:color w:val="153826"/>
          <w:spacing w:val="-2"/>
        </w:rPr>
        <w:t>AGREEMENT</w:t>
      </w:r>
    </w:p>
    <w:p>
      <w:pPr>
        <w:pStyle w:val="Heading1"/>
        <w:spacing w:after="0"/>
        <w:sectPr>
          <w:type w:val="continuous"/>
          <w:pgSz w:w="12240" w:h="15840"/>
          <w:pgMar w:top="1300" w:bottom="280" w:left="1080" w:right="1440"/>
          <w:cols w:num="2" w:equalWidth="0">
            <w:col w:w="2838" w:space="40"/>
            <w:col w:w="6842"/>
          </w:cols>
        </w:sectPr>
      </w:pPr>
    </w:p>
    <w:p>
      <w:pPr>
        <w:pStyle w:val="BodyText"/>
        <w:spacing w:before="113"/>
        <w:rPr>
          <w:rFonts w:ascii="Arial"/>
          <w:b/>
        </w:rPr>
      </w:pPr>
    </w:p>
    <w:p>
      <w:pPr>
        <w:spacing w:line="319" w:lineRule="auto" w:before="0"/>
        <w:ind w:left="335" w:right="14" w:firstLine="0"/>
        <w:jc w:val="left"/>
        <w:rPr>
          <w:sz w:val="21"/>
        </w:rPr>
      </w:pPr>
      <w:r>
        <w:rPr>
          <w:sz w:val="21"/>
        </w:rPr>
        <w:t>This</w:t>
      </w:r>
      <w:r>
        <w:rPr>
          <w:spacing w:val="-3"/>
          <w:sz w:val="21"/>
        </w:rPr>
        <w:t> </w:t>
      </w:r>
      <w:r>
        <w:rPr>
          <w:sz w:val="21"/>
        </w:rPr>
        <w:t>Service</w:t>
      </w:r>
      <w:r>
        <w:rPr>
          <w:spacing w:val="-3"/>
          <w:sz w:val="21"/>
        </w:rPr>
        <w:t> </w:t>
      </w:r>
      <w:r>
        <w:rPr>
          <w:sz w:val="21"/>
        </w:rPr>
        <w:t>Agreement</w:t>
      </w:r>
      <w:r>
        <w:rPr>
          <w:spacing w:val="-3"/>
          <w:sz w:val="21"/>
        </w:rPr>
        <w:t> </w:t>
      </w:r>
      <w:r>
        <w:rPr>
          <w:sz w:val="21"/>
        </w:rPr>
        <w:t>("Agreement")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entered</w:t>
      </w:r>
      <w:r>
        <w:rPr>
          <w:spacing w:val="-3"/>
          <w:sz w:val="21"/>
        </w:rPr>
        <w:t> </w:t>
      </w:r>
      <w:r>
        <w:rPr>
          <w:sz w:val="21"/>
        </w:rPr>
        <w:t>into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June</w:t>
      </w:r>
      <w:r>
        <w:rPr>
          <w:spacing w:val="-3"/>
          <w:sz w:val="21"/>
        </w:rPr>
        <w:t> </w:t>
      </w:r>
      <w:r>
        <w:rPr>
          <w:sz w:val="21"/>
        </w:rPr>
        <w:t>26,</w:t>
      </w:r>
      <w:r>
        <w:rPr>
          <w:spacing w:val="-3"/>
          <w:sz w:val="21"/>
        </w:rPr>
        <w:t> </w:t>
      </w:r>
      <w:r>
        <w:rPr>
          <w:sz w:val="21"/>
        </w:rPr>
        <w:t>2026,</w:t>
      </w:r>
      <w:r>
        <w:rPr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between</w:t>
      </w:r>
      <w:r>
        <w:rPr>
          <w:spacing w:val="-3"/>
          <w:sz w:val="21"/>
        </w:rPr>
        <w:t> </w:t>
      </w:r>
      <w:r>
        <w:rPr>
          <w:rFonts w:ascii="Arial"/>
          <w:b/>
          <w:sz w:val="21"/>
        </w:rPr>
        <w:t>Acme Consulting Group </w:t>
      </w:r>
      <w:r>
        <w:rPr>
          <w:sz w:val="21"/>
        </w:rPr>
        <w:t>("Provider") and </w:t>
      </w:r>
      <w:r>
        <w:rPr>
          <w:rFonts w:ascii="Arial"/>
          <w:b/>
          <w:sz w:val="21"/>
        </w:rPr>
        <w:t>Meridian Retail Holdings, Inc. </w:t>
      </w:r>
      <w:r>
        <w:rPr>
          <w:sz w:val="21"/>
        </w:rPr>
        <w:t>("Client"), collectively the </w:t>
      </w:r>
      <w:r>
        <w:rPr>
          <w:spacing w:val="-2"/>
          <w:sz w:val="21"/>
        </w:rPr>
        <w:t>"Parties."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601" w:val="left" w:leader="none"/>
        </w:tabs>
        <w:spacing w:line="240" w:lineRule="auto" w:before="0" w:after="0"/>
        <w:ind w:left="601" w:right="0" w:hanging="266"/>
        <w:jc w:val="left"/>
      </w:pPr>
      <w:r>
        <w:rPr>
          <w:color w:val="153826"/>
        </w:rPr>
        <w:t>Scope of </w:t>
      </w:r>
      <w:r>
        <w:rPr>
          <w:color w:val="153826"/>
          <w:spacing w:val="-2"/>
        </w:rPr>
        <w:t>Services</w:t>
      </w:r>
    </w:p>
    <w:p>
      <w:pPr>
        <w:pStyle w:val="BodyText"/>
        <w:spacing w:line="319" w:lineRule="auto" w:before="202"/>
        <w:ind w:left="335" w:right="14"/>
      </w:pPr>
      <w:r>
        <w:rPr/>
        <w:t>Provider shall deliver information-security advisory services, including a network vulnerability assessment,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phishing-awareness</w:t>
      </w:r>
      <w:r>
        <w:rPr>
          <w:spacing w:val="-4"/>
        </w:rPr>
        <w:t> </w:t>
      </w:r>
      <w:r>
        <w:rPr/>
        <w:t>training,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written</w:t>
      </w:r>
      <w:r>
        <w:rPr>
          <w:spacing w:val="-4"/>
        </w:rPr>
        <w:t> </w:t>
      </w:r>
      <w:r>
        <w:rPr/>
        <w:t>remediation</w:t>
      </w:r>
      <w:r>
        <w:rPr>
          <w:spacing w:val="-4"/>
        </w:rPr>
        <w:t> </w:t>
      </w:r>
      <w:r>
        <w:rPr/>
        <w:t>roadmap,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 completed within 45 calendar days of the Effective Date.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601" w:val="left" w:leader="none"/>
        </w:tabs>
        <w:spacing w:line="240" w:lineRule="auto" w:before="0" w:after="0"/>
        <w:ind w:left="601" w:right="0" w:hanging="266"/>
        <w:jc w:val="left"/>
      </w:pPr>
      <w:r>
        <w:rPr>
          <w:color w:val="153826"/>
        </w:rPr>
        <w:t>Payment </w:t>
      </w:r>
      <w:r>
        <w:rPr>
          <w:color w:val="153826"/>
          <w:spacing w:val="-2"/>
        </w:rPr>
        <w:t>Terms</w:t>
      </w:r>
    </w:p>
    <w:p>
      <w:pPr>
        <w:pStyle w:val="BodyText"/>
        <w:spacing w:line="319" w:lineRule="auto" w:before="202"/>
        <w:ind w:left="335" w:right="14"/>
      </w:pPr>
      <w:r>
        <w:rPr/>
        <w:t>Client shall pay Provider a fixed fee of </w:t>
      </w:r>
      <w:r>
        <w:rPr>
          <w:rFonts w:ascii="Arial"/>
          <w:b/>
        </w:rPr>
        <w:t>$18,500 USD</w:t>
      </w:r>
      <w:r>
        <w:rPr/>
        <w:t>, invoiced in two installments: 50% upon execution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Agreement,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50%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/>
        <w:t>delivery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remediation</w:t>
      </w:r>
      <w:r>
        <w:rPr>
          <w:spacing w:val="-3"/>
        </w:rPr>
        <w:t> </w:t>
      </w:r>
      <w:r>
        <w:rPr/>
        <w:t>roadmap.</w:t>
      </w:r>
      <w:r>
        <w:rPr>
          <w:spacing w:val="-3"/>
        </w:rPr>
        <w:t> </w:t>
      </w:r>
      <w:r>
        <w:rPr/>
        <w:t>Payment</w:t>
      </w:r>
      <w:r>
        <w:rPr>
          <w:spacing w:val="-3"/>
        </w:rPr>
        <w:t> </w:t>
      </w:r>
      <w:r>
        <w:rPr/>
        <w:t>is due within thirty (30) days of invoice date.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601" w:val="left" w:leader="none"/>
        </w:tabs>
        <w:spacing w:line="240" w:lineRule="auto" w:before="0" w:after="0"/>
        <w:ind w:left="601" w:right="0" w:hanging="266"/>
        <w:jc w:val="left"/>
      </w:pPr>
      <w:r>
        <w:rPr>
          <w:color w:val="153826"/>
          <w:spacing w:val="-2"/>
        </w:rPr>
        <w:t>Confidentiality</w:t>
      </w:r>
    </w:p>
    <w:p>
      <w:pPr>
        <w:pStyle w:val="BodyText"/>
        <w:spacing w:line="319" w:lineRule="auto" w:before="202"/>
        <w:ind w:left="335" w:right="14"/>
      </w:pPr>
      <w:r>
        <w:rPr/>
        <w:t>Each</w:t>
      </w:r>
      <w:r>
        <w:rPr>
          <w:spacing w:val="-3"/>
        </w:rPr>
        <w:t> </w:t>
      </w:r>
      <w:r>
        <w:rPr/>
        <w:t>Party</w:t>
      </w:r>
      <w:r>
        <w:rPr>
          <w:spacing w:val="-3"/>
        </w:rPr>
        <w:t> </w:t>
      </w:r>
      <w:r>
        <w:rPr/>
        <w:t>agrees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hold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Party's</w:t>
      </w:r>
      <w:r>
        <w:rPr>
          <w:spacing w:val="-3"/>
        </w:rPr>
        <w:t> </w:t>
      </w:r>
      <w:r>
        <w:rPr/>
        <w:t>confidential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strict</w:t>
      </w:r>
      <w:r>
        <w:rPr>
          <w:spacing w:val="-3"/>
        </w:rPr>
        <w:t> </w:t>
      </w:r>
      <w:r>
        <w:rPr/>
        <w:t>confidence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 such information solely for purposes of performing this Agreement.</w:t>
      </w:r>
    </w:p>
    <w:p>
      <w:pPr>
        <w:pStyle w:val="BodyText"/>
        <w:spacing w:before="38"/>
      </w:pPr>
    </w:p>
    <w:p>
      <w:pPr>
        <w:pStyle w:val="Heading2"/>
        <w:numPr>
          <w:ilvl w:val="0"/>
          <w:numId w:val="1"/>
        </w:numPr>
        <w:tabs>
          <w:tab w:pos="601" w:val="left" w:leader="none"/>
        </w:tabs>
        <w:spacing w:line="240" w:lineRule="auto" w:before="0" w:after="0"/>
        <w:ind w:left="601" w:right="0" w:hanging="266"/>
        <w:jc w:val="left"/>
      </w:pPr>
      <w:r>
        <w:rPr>
          <w:color w:val="153826"/>
        </w:rPr>
        <w:t>Term and </w:t>
      </w:r>
      <w:r>
        <w:rPr>
          <w:color w:val="153826"/>
          <w:spacing w:val="-2"/>
        </w:rPr>
        <w:t>Termination</w:t>
      </w:r>
    </w:p>
    <w:p>
      <w:pPr>
        <w:pStyle w:val="BodyText"/>
        <w:spacing w:line="319" w:lineRule="auto" w:before="203"/>
        <w:ind w:left="335" w:right="14"/>
      </w:pPr>
      <w:r>
        <w:rPr/>
        <w:t>This</w:t>
      </w:r>
      <w:r>
        <w:rPr>
          <w:spacing w:val="-3"/>
        </w:rPr>
        <w:t> </w:t>
      </w:r>
      <w:r>
        <w:rPr/>
        <w:t>Agreement</w:t>
      </w:r>
      <w:r>
        <w:rPr>
          <w:spacing w:val="-3"/>
        </w:rPr>
        <w:t> </w:t>
      </w:r>
      <w:r>
        <w:rPr/>
        <w:t>commences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continues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completed, unless earlier terminated by either Party upon fourteen (14) days' written notice.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601" w:val="left" w:leader="none"/>
        </w:tabs>
        <w:spacing w:line="240" w:lineRule="auto" w:before="1" w:after="0"/>
        <w:ind w:left="601" w:right="0" w:hanging="266"/>
        <w:jc w:val="left"/>
      </w:pPr>
      <w:r>
        <w:rPr>
          <w:color w:val="153826"/>
          <w:spacing w:val="-2"/>
        </w:rPr>
        <w:t>Penalties</w:t>
      </w:r>
    </w:p>
    <w:p>
      <w:pPr>
        <w:pStyle w:val="BodyText"/>
        <w:spacing w:line="319" w:lineRule="auto" w:before="202"/>
        <w:ind w:left="335" w:right="14"/>
      </w:pPr>
      <w:r>
        <w:rPr/>
        <w:t>Late</w:t>
      </w:r>
      <w:r>
        <w:rPr>
          <w:spacing w:val="-3"/>
        </w:rPr>
        <w:t> </w:t>
      </w:r>
      <w:r>
        <w:rPr/>
        <w:t>payments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accrue</w:t>
      </w:r>
      <w:r>
        <w:rPr>
          <w:spacing w:val="-3"/>
        </w:rPr>
        <w:t> </w:t>
      </w:r>
      <w:r>
        <w:rPr/>
        <w:t>interest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1.5%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month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outstanding</w:t>
      </w:r>
      <w:r>
        <w:rPr>
          <w:spacing w:val="-3"/>
        </w:rPr>
        <w:t> </w:t>
      </w:r>
      <w:r>
        <w:rPr/>
        <w:t>balance,</w:t>
      </w:r>
      <w:r>
        <w:rPr>
          <w:spacing w:val="-3"/>
        </w:rPr>
        <w:t> </w:t>
      </w:r>
      <w:r>
        <w:rPr/>
        <w:t>calculated</w:t>
      </w:r>
      <w:r>
        <w:rPr>
          <w:spacing w:val="-3"/>
        </w:rPr>
        <w:t> </w:t>
      </w:r>
      <w:r>
        <w:rPr/>
        <w:t>from the original due date.</w:t>
      </w:r>
    </w:p>
    <w:p>
      <w:pPr>
        <w:pStyle w:val="BodyText"/>
        <w:spacing w:before="0"/>
      </w:pPr>
    </w:p>
    <w:p>
      <w:pPr>
        <w:pStyle w:val="BodyText"/>
        <w:spacing w:before="153"/>
      </w:pPr>
    </w:p>
    <w:p>
      <w:pPr>
        <w:tabs>
          <w:tab w:pos="5159" w:val="left" w:leader="none"/>
        </w:tabs>
        <w:spacing w:before="0"/>
        <w:ind w:left="1271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153826"/>
          <w:sz w:val="19"/>
        </w:rPr>
        <w:t>Signed for </w:t>
      </w:r>
      <w:r>
        <w:rPr>
          <w:rFonts w:ascii="Arial"/>
          <w:b/>
          <w:color w:val="153826"/>
          <w:spacing w:val="-2"/>
          <w:sz w:val="19"/>
        </w:rPr>
        <w:t>Provider:</w:t>
      </w:r>
      <w:r>
        <w:rPr>
          <w:rFonts w:ascii="Arial"/>
          <w:b/>
          <w:color w:val="153826"/>
          <w:sz w:val="19"/>
        </w:rPr>
        <w:tab/>
        <w:t>Signed for </w:t>
      </w:r>
      <w:r>
        <w:rPr>
          <w:rFonts w:ascii="Arial"/>
          <w:b/>
          <w:color w:val="153826"/>
          <w:spacing w:val="-2"/>
          <w:sz w:val="19"/>
        </w:rPr>
        <w:t>Client:</w:t>
      </w:r>
    </w:p>
    <w:p>
      <w:pPr>
        <w:pStyle w:val="BodyText"/>
        <w:spacing w:before="0"/>
        <w:rPr>
          <w:rFonts w:ascii="Arial"/>
          <w:b/>
          <w:sz w:val="20"/>
        </w:rPr>
      </w:pPr>
    </w:p>
    <w:p>
      <w:pPr>
        <w:pStyle w:val="BodyText"/>
        <w:spacing w:before="22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1493519</wp:posOffset>
                </wp:positionH>
                <wp:positionV relativeFrom="paragraph">
                  <wp:posOffset>306185</wp:posOffset>
                </wp:positionV>
                <wp:extent cx="167767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677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7670" h="0">
                              <a:moveTo>
                                <a:pt x="0" y="0"/>
                              </a:moveTo>
                              <a:lnTo>
                                <a:pt x="167749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599998pt;margin-top:24.109056pt;width:132.1pt;height:.1pt;mso-position-horizontal-relative:page;mso-position-vertical-relative:paragraph;z-index:-15728640;mso-wrap-distance-left:0;mso-wrap-distance-right:0" id="docshape1" coordorigin="2352,482" coordsize="2642,0" path="m2352,482l4994,482e" filled="false" stroked="true" strokeweight=".5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3962400</wp:posOffset>
                </wp:positionH>
                <wp:positionV relativeFrom="paragraph">
                  <wp:posOffset>306185</wp:posOffset>
                </wp:positionV>
                <wp:extent cx="167767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677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7670" h="0">
                              <a:moveTo>
                                <a:pt x="0" y="0"/>
                              </a:moveTo>
                              <a:lnTo>
                                <a:pt x="167749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pt;margin-top:24.109056pt;width:132.1pt;height:.1pt;mso-position-horizontal-relative:page;mso-position-vertical-relative:paragraph;z-index:-15728128;mso-wrap-distance-left:0;mso-wrap-distance-right:0" id="docshape2" coordorigin="6240,482" coordsize="2642,0" path="m6240,482l8882,482e" filled="false" stroked="true" strokeweight=".5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59" w:val="left" w:leader="none"/>
        </w:tabs>
        <w:spacing w:line="396" w:lineRule="auto" w:before="144"/>
        <w:ind w:left="1271" w:right="2086" w:firstLine="0"/>
        <w:jc w:val="left"/>
        <w:rPr>
          <w:sz w:val="19"/>
        </w:rPr>
      </w:pPr>
      <w:r>
        <w:rPr>
          <w:sz w:val="19"/>
        </w:rPr>
        <w:t>Juan Dela Cruz, Managing Partner</w:t>
        <w:tab/>
        <w:t>Maria</w:t>
      </w:r>
      <w:r>
        <w:rPr>
          <w:spacing w:val="-9"/>
          <w:sz w:val="19"/>
        </w:rPr>
        <w:t> </w:t>
      </w:r>
      <w:r>
        <w:rPr>
          <w:sz w:val="19"/>
        </w:rPr>
        <w:t>Santos,</w:t>
      </w:r>
      <w:r>
        <w:rPr>
          <w:spacing w:val="-9"/>
          <w:sz w:val="19"/>
        </w:rPr>
        <w:t> </w:t>
      </w:r>
      <w:r>
        <w:rPr>
          <w:sz w:val="19"/>
        </w:rPr>
        <w:t>VP</w:t>
      </w:r>
      <w:r>
        <w:rPr>
          <w:spacing w:val="-9"/>
          <w:sz w:val="19"/>
        </w:rPr>
        <w:t> </w:t>
      </w:r>
      <w:r>
        <w:rPr>
          <w:sz w:val="19"/>
        </w:rPr>
        <w:t>Operations Acme Consulting </w:t>
      </w:r>
      <w:r>
        <w:rPr>
          <w:spacing w:val="-2"/>
          <w:sz w:val="19"/>
        </w:rPr>
        <w:t>Group</w:t>
      </w:r>
      <w:r>
        <w:rPr>
          <w:sz w:val="19"/>
        </w:rPr>
        <w:tab/>
        <w:t>Meridian</w:t>
      </w:r>
      <w:r>
        <w:rPr>
          <w:spacing w:val="-2"/>
          <w:sz w:val="19"/>
        </w:rPr>
        <w:t> </w:t>
      </w:r>
      <w:r>
        <w:rPr>
          <w:sz w:val="19"/>
        </w:rPr>
        <w:t>Retail Holdings, </w:t>
      </w:r>
      <w:r>
        <w:rPr>
          <w:spacing w:val="-4"/>
          <w:sz w:val="19"/>
        </w:rPr>
        <w:t>Inc.</w:t>
      </w:r>
    </w:p>
    <w:sectPr>
      <w:type w:val="continuous"/>
      <w:pgSz w:w="12240" w:h="15840"/>
      <w:pgMar w:top="130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02" w:hanging="267"/>
        <w:jc w:val="left"/>
      </w:pPr>
      <w:rPr>
        <w:rFonts w:hint="default" w:ascii="Arial" w:hAnsi="Arial" w:eastAsia="Arial" w:cs="Arial"/>
        <w:b/>
        <w:bCs/>
        <w:i w:val="0"/>
        <w:iCs w:val="0"/>
        <w:color w:val="153826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7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left="172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01" w:hanging="266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1" w:hanging="26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2026-07-04T11:49:49Z</dcterms:created>
  <dcterms:modified xsi:type="dcterms:W3CDTF">2026-07-04T11:49:49Z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2026-07-04T00:00:00Z</vt:filetime>
  </property>
  <property fmtid="{D5CDD505-2E9C-101B-9397-08002B2CF9AE}" pid="6" name="Producer">
    <vt:lpwstr>ReportLab PDF Library - (opensource)</vt:lpwstr>
  </property>
</Properties>
</file>