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1DF7" w14:textId="7A1E90DD" w:rsidR="00E7567E" w:rsidRDefault="00C647CB">
      <w:r>
        <w:t>Figures</w:t>
      </w:r>
      <w:r w:rsidR="007A0F86">
        <w:t xml:space="preserve"> &amp; Tables</w:t>
      </w:r>
    </w:p>
    <w:p w14:paraId="4A662DCD" w14:textId="36DFB91C" w:rsidR="00331979" w:rsidRDefault="00331979">
      <w:r>
        <w:t xml:space="preserve">Question 1 – Patterns of conflict </w:t>
      </w:r>
    </w:p>
    <w:p w14:paraId="252FF38D" w14:textId="77777777" w:rsidR="000E2536" w:rsidRDefault="000E2536" w:rsidP="00C647CB">
      <w:pPr>
        <w:pStyle w:val="ListParagraph"/>
        <w:numPr>
          <w:ilvl w:val="0"/>
          <w:numId w:val="1"/>
        </w:numPr>
      </w:pPr>
      <w:r>
        <w:t xml:space="preserve">SPACE </w:t>
      </w:r>
    </w:p>
    <w:p w14:paraId="1D8E2E89" w14:textId="1B026E24" w:rsidR="000E6B0D" w:rsidRPr="002525F1" w:rsidRDefault="00E90EF7" w:rsidP="000E2536">
      <w:pPr>
        <w:pStyle w:val="ListParagraph"/>
        <w:numPr>
          <w:ilvl w:val="1"/>
          <w:numId w:val="1"/>
        </w:numPr>
        <w:rPr>
          <w:b/>
          <w:bCs/>
        </w:rPr>
      </w:pPr>
      <w:r w:rsidRPr="002525F1">
        <w:rPr>
          <w:b/>
          <w:bCs/>
        </w:rPr>
        <w:t xml:space="preserve">Map of point locations (coupled with </w:t>
      </w:r>
      <w:r w:rsidR="00AB3C98" w:rsidRPr="002525F1">
        <w:rPr>
          <w:b/>
          <w:bCs/>
        </w:rPr>
        <w:t xml:space="preserve">heat map – main text?) </w:t>
      </w:r>
    </w:p>
    <w:p w14:paraId="4D4B546C" w14:textId="264E9559" w:rsidR="00EE4E34" w:rsidRDefault="00EE4E34" w:rsidP="00EE4E34">
      <w:pPr>
        <w:pStyle w:val="ListParagraph"/>
        <w:numPr>
          <w:ilvl w:val="2"/>
          <w:numId w:val="1"/>
        </w:numPr>
      </w:pPr>
      <w:r>
        <w:t xml:space="preserve">Map of habitat types (supplementary) </w:t>
      </w:r>
    </w:p>
    <w:p w14:paraId="2FC42CAF" w14:textId="556B0C0A" w:rsidR="008B67CE" w:rsidRDefault="008B67CE" w:rsidP="00EE4E34">
      <w:pPr>
        <w:pStyle w:val="ListParagraph"/>
        <w:numPr>
          <w:ilvl w:val="2"/>
          <w:numId w:val="1"/>
        </w:numPr>
      </w:pPr>
      <w:r>
        <w:t xml:space="preserve">Table with spatial variables + descriptions </w:t>
      </w:r>
      <w:r w:rsidR="00690328">
        <w:t>(supplementary)</w:t>
      </w:r>
    </w:p>
    <w:p w14:paraId="57742A25" w14:textId="2A63CA5A" w:rsidR="008E378A" w:rsidRPr="002525F1" w:rsidRDefault="008E378A" w:rsidP="008E378A">
      <w:pPr>
        <w:pStyle w:val="ListParagraph"/>
        <w:numPr>
          <w:ilvl w:val="1"/>
          <w:numId w:val="1"/>
        </w:numPr>
        <w:rPr>
          <w:b/>
          <w:bCs/>
        </w:rPr>
      </w:pPr>
      <w:r w:rsidRPr="002525F1">
        <w:rPr>
          <w:b/>
          <w:bCs/>
        </w:rPr>
        <w:t>Figure with boldness/perceptions across habitat types</w:t>
      </w:r>
    </w:p>
    <w:p w14:paraId="6A3CFEE4" w14:textId="62AF0946" w:rsidR="000E2536" w:rsidRDefault="000E2536" w:rsidP="000E2536">
      <w:pPr>
        <w:pStyle w:val="ListParagraph"/>
        <w:numPr>
          <w:ilvl w:val="0"/>
          <w:numId w:val="1"/>
        </w:numPr>
      </w:pPr>
      <w:r>
        <w:t xml:space="preserve">TIME </w:t>
      </w:r>
    </w:p>
    <w:p w14:paraId="7003ABB4" w14:textId="3D4C81F8" w:rsidR="00B00354" w:rsidRPr="002525F1" w:rsidRDefault="0010627D" w:rsidP="00B00354">
      <w:pPr>
        <w:pStyle w:val="ListParagraph"/>
        <w:numPr>
          <w:ilvl w:val="1"/>
          <w:numId w:val="1"/>
        </w:numPr>
        <w:rPr>
          <w:b/>
          <w:bCs/>
        </w:rPr>
      </w:pPr>
      <w:r w:rsidRPr="002525F1">
        <w:rPr>
          <w:b/>
          <w:bCs/>
        </w:rPr>
        <w:t xml:space="preserve">Stacked bar plot with </w:t>
      </w:r>
      <w:r w:rsidR="00B759B4" w:rsidRPr="002525F1">
        <w:rPr>
          <w:b/>
          <w:bCs/>
        </w:rPr>
        <w:t>boldness/perceptions</w:t>
      </w:r>
      <w:r w:rsidRPr="002525F1">
        <w:rPr>
          <w:b/>
          <w:bCs/>
        </w:rPr>
        <w:t xml:space="preserve"> </w:t>
      </w:r>
      <w:r w:rsidR="00B759B4" w:rsidRPr="002525F1">
        <w:rPr>
          <w:b/>
          <w:bCs/>
        </w:rPr>
        <w:t>per</w:t>
      </w:r>
      <w:r w:rsidRPr="002525F1">
        <w:rPr>
          <w:b/>
          <w:bCs/>
        </w:rPr>
        <w:t xml:space="preserve"> month </w:t>
      </w:r>
    </w:p>
    <w:p w14:paraId="3B22DF36" w14:textId="7321242A" w:rsidR="00690328" w:rsidRDefault="00690328" w:rsidP="00B00354">
      <w:pPr>
        <w:pStyle w:val="ListParagraph"/>
        <w:numPr>
          <w:ilvl w:val="1"/>
          <w:numId w:val="1"/>
        </w:numPr>
      </w:pPr>
      <w:r>
        <w:t xml:space="preserve">Stacked bar plot with boldness/perceptions per </w:t>
      </w:r>
      <w:r w:rsidR="006A2AB3">
        <w:t>time of day (supplementary)</w:t>
      </w:r>
    </w:p>
    <w:p w14:paraId="4FEB8D1D" w14:textId="5C7207D1" w:rsidR="00E320B9" w:rsidRDefault="000E2536" w:rsidP="00852A97">
      <w:pPr>
        <w:pStyle w:val="ListParagraph"/>
        <w:numPr>
          <w:ilvl w:val="0"/>
          <w:numId w:val="1"/>
        </w:numPr>
      </w:pPr>
      <w:r>
        <w:t xml:space="preserve">CONTEXT </w:t>
      </w:r>
    </w:p>
    <w:p w14:paraId="10D080AC" w14:textId="79228B2C" w:rsidR="00F11434" w:rsidRPr="00D32F89" w:rsidRDefault="00DA4D04" w:rsidP="00852A97">
      <w:pPr>
        <w:pStyle w:val="ListParagraph"/>
        <w:numPr>
          <w:ilvl w:val="1"/>
          <w:numId w:val="1"/>
        </w:numPr>
        <w:rPr>
          <w:b/>
          <w:bCs/>
        </w:rPr>
      </w:pPr>
      <w:r w:rsidRPr="002525F1">
        <w:rPr>
          <w:b/>
          <w:bCs/>
        </w:rPr>
        <w:t xml:space="preserve">Multi-panel plot with boldness/perceptions over </w:t>
      </w:r>
      <w:r w:rsidR="007B679C" w:rsidRPr="002525F1">
        <w:rPr>
          <w:b/>
          <w:bCs/>
        </w:rPr>
        <w:t>contextual variables</w:t>
      </w:r>
    </w:p>
    <w:p w14:paraId="511B2C55" w14:textId="28BE58F9" w:rsidR="00852A97" w:rsidRDefault="00852A97" w:rsidP="00852A97">
      <w:r>
        <w:t xml:space="preserve">Question 2 </w:t>
      </w:r>
      <w:r w:rsidR="004D1453">
        <w:t>–</w:t>
      </w:r>
      <w:r>
        <w:t xml:space="preserve"> </w:t>
      </w:r>
      <w:r w:rsidR="004D1453">
        <w:t xml:space="preserve">Conflict over time </w:t>
      </w:r>
    </w:p>
    <w:p w14:paraId="296808D2" w14:textId="43DDC6CB" w:rsidR="004D1453" w:rsidRPr="00D32F89" w:rsidRDefault="004D1453" w:rsidP="004D1453">
      <w:pPr>
        <w:pStyle w:val="ListParagraph"/>
        <w:numPr>
          <w:ilvl w:val="0"/>
          <w:numId w:val="2"/>
        </w:numPr>
        <w:rPr>
          <w:b/>
          <w:bCs/>
        </w:rPr>
      </w:pPr>
      <w:r w:rsidRPr="00D32F89">
        <w:rPr>
          <w:b/>
          <w:bCs/>
        </w:rPr>
        <w:t xml:space="preserve">Stacked bar plot with </w:t>
      </w:r>
      <w:r w:rsidR="00D32F89">
        <w:rPr>
          <w:b/>
          <w:bCs/>
        </w:rPr>
        <w:t xml:space="preserve">boldness/perceptions per </w:t>
      </w:r>
      <w:r w:rsidRPr="00D32F89">
        <w:rPr>
          <w:b/>
          <w:bCs/>
        </w:rPr>
        <w:t xml:space="preserve">year </w:t>
      </w:r>
    </w:p>
    <w:p w14:paraId="76589E7A" w14:textId="31687591" w:rsidR="00AA098F" w:rsidRPr="006A2129" w:rsidRDefault="00AA098F" w:rsidP="004D1453">
      <w:pPr>
        <w:pStyle w:val="ListParagraph"/>
        <w:numPr>
          <w:ilvl w:val="0"/>
          <w:numId w:val="2"/>
        </w:numPr>
        <w:rPr>
          <w:b/>
          <w:bCs/>
        </w:rPr>
      </w:pPr>
      <w:r w:rsidRPr="006A2129">
        <w:rPr>
          <w:b/>
          <w:bCs/>
        </w:rPr>
        <w:t>Coefficient plot</w:t>
      </w:r>
      <w:r w:rsidR="00DB5138" w:rsidRPr="006A2129">
        <w:rPr>
          <w:b/>
          <w:bCs/>
        </w:rPr>
        <w:t xml:space="preserve"> </w:t>
      </w:r>
      <w:r w:rsidR="007E31A5" w:rsidRPr="006A2129">
        <w:rPr>
          <w:b/>
          <w:bCs/>
        </w:rPr>
        <w:t>–</w:t>
      </w:r>
      <w:r w:rsidR="00DB5138" w:rsidRPr="006A2129">
        <w:rPr>
          <w:b/>
          <w:bCs/>
        </w:rPr>
        <w:t xml:space="preserve"> </w:t>
      </w:r>
      <w:r w:rsidR="007E31A5" w:rsidRPr="006A2129">
        <w:rPr>
          <w:b/>
          <w:bCs/>
        </w:rPr>
        <w:t>2-panel</w:t>
      </w:r>
      <w:r w:rsidR="006B0AB6" w:rsidRPr="006A2129">
        <w:rPr>
          <w:b/>
          <w:bCs/>
        </w:rPr>
        <w:t xml:space="preserve"> as discussed with Colleen</w:t>
      </w:r>
    </w:p>
    <w:p w14:paraId="79A02CAD" w14:textId="77777777" w:rsidR="00EE4E34" w:rsidRDefault="00D2723E" w:rsidP="00EE4E34">
      <w:pPr>
        <w:pStyle w:val="ListParagraph"/>
        <w:numPr>
          <w:ilvl w:val="1"/>
          <w:numId w:val="2"/>
        </w:numPr>
      </w:pPr>
      <w:r>
        <w:t xml:space="preserve">Supplementary </w:t>
      </w:r>
      <w:r w:rsidR="00487639">
        <w:t>Table with all</w:t>
      </w:r>
      <w:r w:rsidR="001B5EAF">
        <w:t xml:space="preserve"> top models</w:t>
      </w:r>
      <w:r w:rsidR="00E73672">
        <w:t xml:space="preserve"> for perception &amp; </w:t>
      </w:r>
      <w:r w:rsidR="004D7A38">
        <w:t>boldness</w:t>
      </w:r>
      <w:r w:rsidR="001B5EAF">
        <w:t xml:space="preserve"> </w:t>
      </w:r>
      <w:r>
        <w:sym w:font="Wingdings" w:char="F0E0"/>
      </w:r>
      <w:r w:rsidR="001F41E5">
        <w:t xml:space="preserve"> </w:t>
      </w:r>
      <w:proofErr w:type="spellStart"/>
      <w:r w:rsidR="001F41E5">
        <w:t>coeff</w:t>
      </w:r>
      <w:proofErr w:type="spellEnd"/>
      <w:r w:rsidR="001F41E5">
        <w:t xml:space="preserve">, </w:t>
      </w:r>
      <w:r w:rsidR="00C95D65">
        <w:t xml:space="preserve">95% CI, </w:t>
      </w:r>
      <w:r w:rsidR="00410AF2">
        <w:t xml:space="preserve">stat value, </w:t>
      </w:r>
      <w:r w:rsidR="00C154D7">
        <w:t xml:space="preserve">AIC </w:t>
      </w:r>
      <w:r w:rsidR="004727B5">
        <w:t xml:space="preserve">for model </w:t>
      </w:r>
    </w:p>
    <w:p w14:paraId="0F7316DE" w14:textId="09E0EE45" w:rsidR="00487639" w:rsidRDefault="006A2129" w:rsidP="006A2129">
      <w:r>
        <w:t xml:space="preserve">Question 3 </w:t>
      </w:r>
      <w:r w:rsidR="00E25113">
        <w:t>–</w:t>
      </w:r>
      <w:r>
        <w:t xml:space="preserve"> </w:t>
      </w:r>
      <w:r w:rsidR="00E25113">
        <w:t xml:space="preserve">Conflict over time </w:t>
      </w:r>
      <w:r w:rsidR="00E25113">
        <w:sym w:font="Wingdings" w:char="F0E0"/>
      </w:r>
      <w:r w:rsidR="00E25113">
        <w:t xml:space="preserve"> linked to other variables? </w:t>
      </w:r>
    </w:p>
    <w:p w14:paraId="15218C3C" w14:textId="4230B2E0" w:rsidR="00D644BA" w:rsidRDefault="00D644BA" w:rsidP="00D644BA">
      <w:pPr>
        <w:pStyle w:val="ListParagraph"/>
        <w:numPr>
          <w:ilvl w:val="0"/>
          <w:numId w:val="4"/>
        </w:numPr>
      </w:pPr>
      <w:r>
        <w:t xml:space="preserve">Plot with boldness/perceptions over habitat types, over time? </w:t>
      </w:r>
    </w:p>
    <w:p w14:paraId="614B22D9" w14:textId="459981C6" w:rsidR="00A20C41" w:rsidRDefault="00A20C41" w:rsidP="00D644BA">
      <w:pPr>
        <w:pStyle w:val="ListParagraph"/>
        <w:numPr>
          <w:ilvl w:val="0"/>
          <w:numId w:val="4"/>
        </w:numPr>
      </w:pPr>
      <w:r>
        <w:t xml:space="preserve">Simply lean on the coefficient </w:t>
      </w:r>
      <w:proofErr w:type="gramStart"/>
      <w:r>
        <w:t>plot?</w:t>
      </w:r>
      <w:proofErr w:type="gramEnd"/>
      <w:r>
        <w:t xml:space="preserve"> </w:t>
      </w:r>
    </w:p>
    <w:p w14:paraId="2045C6FA" w14:textId="2FEF3047" w:rsidR="00C647CB" w:rsidRDefault="00C647CB"/>
    <w:p w14:paraId="061BDAE7" w14:textId="4AA115FD" w:rsidR="00C647CB" w:rsidRDefault="00C647CB"/>
    <w:p w14:paraId="20D56A85" w14:textId="36644177" w:rsidR="009563ED" w:rsidRDefault="009563ED"/>
    <w:p w14:paraId="3F304135" w14:textId="394252F7" w:rsidR="009563ED" w:rsidRDefault="009563ED"/>
    <w:p w14:paraId="407596DC" w14:textId="7A295A8C" w:rsidR="009563ED" w:rsidRDefault="009563ED"/>
    <w:p w14:paraId="1F83AAE4" w14:textId="193FB463" w:rsidR="009563ED" w:rsidRDefault="009563ED"/>
    <w:p w14:paraId="3BF7FF59" w14:textId="340BDAD1" w:rsidR="009563ED" w:rsidRDefault="009563ED"/>
    <w:p w14:paraId="45D64377" w14:textId="47E70745" w:rsidR="009563ED" w:rsidRDefault="009563ED"/>
    <w:p w14:paraId="050EB025" w14:textId="1F883942" w:rsidR="009563ED" w:rsidRDefault="009563ED"/>
    <w:p w14:paraId="48096D32" w14:textId="2CAEF74C" w:rsidR="009563ED" w:rsidRDefault="009563ED"/>
    <w:p w14:paraId="4F51FA2C" w14:textId="16F7427A" w:rsidR="009563ED" w:rsidRDefault="009563ED"/>
    <w:p w14:paraId="26BE09A7" w14:textId="63852282" w:rsidR="009563ED" w:rsidRDefault="009563ED"/>
    <w:p w14:paraId="0589C313" w14:textId="110D6E52" w:rsidR="009563ED" w:rsidRDefault="009563ED"/>
    <w:p w14:paraId="4B4DFF07" w14:textId="0A3D9513" w:rsidR="009563ED" w:rsidRDefault="009563ED"/>
    <w:p w14:paraId="778CB218" w14:textId="6B994BC3" w:rsidR="009563ED" w:rsidRDefault="009563ED"/>
    <w:p w14:paraId="72FC5A38" w14:textId="77777777" w:rsidR="009563ED" w:rsidRDefault="009563ED"/>
    <w:p w14:paraId="6BF96CEE" w14:textId="2B79906A" w:rsidR="00BF4AC1" w:rsidRDefault="00AD6D59">
      <w:r>
        <w:t xml:space="preserve">Table S1. Spatial variables </w:t>
      </w:r>
      <w:r w:rsidR="0094596F">
        <w:t xml:space="preserve">measured for ordinal regression analyses.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051"/>
        <w:gridCol w:w="1509"/>
      </w:tblGrid>
      <w:tr w:rsidR="00B23C53" w:rsidRPr="00E36A85" w14:paraId="734CB35B" w14:textId="77777777" w:rsidTr="00AD6D59">
        <w:tc>
          <w:tcPr>
            <w:tcW w:w="1800" w:type="dxa"/>
            <w:tcBorders>
              <w:top w:val="single" w:sz="4" w:space="0" w:color="auto"/>
              <w:bottom w:val="single" w:sz="4" w:space="0" w:color="auto"/>
            </w:tcBorders>
            <w:vAlign w:val="center"/>
          </w:tcPr>
          <w:p w14:paraId="1C678C4E" w14:textId="1002A656" w:rsidR="00B23C53" w:rsidRDefault="00AD6D59" w:rsidP="00AD6D59">
            <w:pPr>
              <w:spacing w:line="480" w:lineRule="auto"/>
              <w:rPr>
                <w:rFonts w:ascii="Times New Roman" w:hAnsi="Times New Roman" w:cs="Times New Roman"/>
                <w:b/>
                <w:bCs/>
              </w:rPr>
            </w:pPr>
            <w:r>
              <w:rPr>
                <w:rFonts w:ascii="Times New Roman" w:hAnsi="Times New Roman" w:cs="Times New Roman"/>
                <w:b/>
                <w:bCs/>
              </w:rPr>
              <w:t xml:space="preserve">Variable Name </w:t>
            </w:r>
          </w:p>
        </w:tc>
        <w:tc>
          <w:tcPr>
            <w:tcW w:w="6051" w:type="dxa"/>
            <w:tcBorders>
              <w:top w:val="single" w:sz="4" w:space="0" w:color="auto"/>
              <w:bottom w:val="single" w:sz="4" w:space="0" w:color="auto"/>
            </w:tcBorders>
            <w:vAlign w:val="center"/>
          </w:tcPr>
          <w:p w14:paraId="5D9610C4" w14:textId="5C1AF748" w:rsidR="00B23C53" w:rsidRPr="00E36A85" w:rsidRDefault="00B23C53" w:rsidP="00DE5026">
            <w:pPr>
              <w:spacing w:line="480" w:lineRule="auto"/>
              <w:jc w:val="center"/>
              <w:rPr>
                <w:rFonts w:ascii="Times New Roman" w:hAnsi="Times New Roman" w:cs="Times New Roman"/>
                <w:b/>
                <w:bCs/>
                <w:lang w:val="en-CA"/>
              </w:rPr>
            </w:pPr>
            <w:r>
              <w:rPr>
                <w:rFonts w:ascii="Times New Roman" w:hAnsi="Times New Roman" w:cs="Times New Roman"/>
                <w:b/>
                <w:bCs/>
                <w:lang w:val="en-CA"/>
              </w:rPr>
              <w:t>Description</w:t>
            </w:r>
          </w:p>
        </w:tc>
        <w:tc>
          <w:tcPr>
            <w:tcW w:w="1509" w:type="dxa"/>
            <w:tcBorders>
              <w:top w:val="single" w:sz="4" w:space="0" w:color="auto"/>
              <w:bottom w:val="single" w:sz="4" w:space="0" w:color="auto"/>
            </w:tcBorders>
            <w:vAlign w:val="center"/>
          </w:tcPr>
          <w:p w14:paraId="610E0E6F" w14:textId="77777777" w:rsidR="00B23C53" w:rsidRPr="00E36A85" w:rsidRDefault="00B23C53" w:rsidP="00DE5026">
            <w:pPr>
              <w:spacing w:line="480" w:lineRule="auto"/>
              <w:jc w:val="center"/>
              <w:rPr>
                <w:rFonts w:ascii="Times New Roman" w:hAnsi="Times New Roman" w:cs="Times New Roman"/>
                <w:b/>
                <w:bCs/>
                <w:lang w:val="en-CA"/>
              </w:rPr>
            </w:pPr>
            <w:r w:rsidRPr="00E36A85">
              <w:rPr>
                <w:rFonts w:ascii="Times New Roman" w:hAnsi="Times New Roman" w:cs="Times New Roman"/>
                <w:b/>
                <w:bCs/>
                <w:lang w:val="en-CA"/>
              </w:rPr>
              <w:t>% Study Area</w:t>
            </w:r>
          </w:p>
        </w:tc>
      </w:tr>
      <w:tr w:rsidR="00B23C53" w:rsidRPr="00E36A85" w14:paraId="0E8C901F" w14:textId="77777777" w:rsidTr="00AD6D59">
        <w:tc>
          <w:tcPr>
            <w:tcW w:w="1800" w:type="dxa"/>
            <w:tcBorders>
              <w:top w:val="single" w:sz="4" w:space="0" w:color="auto"/>
            </w:tcBorders>
          </w:tcPr>
          <w:p w14:paraId="4551A103" w14:textId="687A58AE" w:rsidR="00B23C53" w:rsidRPr="00AD6D59" w:rsidRDefault="00AD6D59" w:rsidP="00AD6D59">
            <w:pPr>
              <w:spacing w:line="480" w:lineRule="auto"/>
              <w:rPr>
                <w:rFonts w:ascii="Times New Roman" w:hAnsi="Times New Roman" w:cs="Times New Roman"/>
              </w:rPr>
            </w:pPr>
            <w:r>
              <w:rPr>
                <w:rFonts w:ascii="Times New Roman" w:hAnsi="Times New Roman" w:cs="Times New Roman"/>
              </w:rPr>
              <w:t>Nat</w:t>
            </w:r>
          </w:p>
        </w:tc>
        <w:tc>
          <w:tcPr>
            <w:tcW w:w="6051" w:type="dxa"/>
            <w:tcBorders>
              <w:top w:val="single" w:sz="4" w:space="0" w:color="auto"/>
            </w:tcBorders>
          </w:tcPr>
          <w:p w14:paraId="60898DA3" w14:textId="0724268F" w:rsidR="00B23C53" w:rsidRPr="00FA55C8" w:rsidRDefault="00FA55C8" w:rsidP="00FA55C8">
            <w:pPr>
              <w:spacing w:line="480" w:lineRule="auto"/>
              <w:rPr>
                <w:rFonts w:ascii="Times New Roman" w:hAnsi="Times New Roman" w:cs="Times New Roman"/>
                <w:lang w:val="en-CA"/>
              </w:rPr>
            </w:pPr>
            <w:r w:rsidRPr="00FA55C8">
              <w:rPr>
                <w:rFonts w:ascii="Times New Roman" w:hAnsi="Times New Roman" w:cs="Times New Roman"/>
                <w:lang w:val="en-CA"/>
              </w:rPr>
              <w:t>F</w:t>
            </w:r>
            <w:r w:rsidR="00B23C53" w:rsidRPr="00FA55C8">
              <w:rPr>
                <w:rFonts w:ascii="Times New Roman" w:hAnsi="Times New Roman" w:cs="Times New Roman"/>
                <w:lang w:val="en-CA"/>
              </w:rPr>
              <w:t>orest, wetland and naturally non-wooded areas</w:t>
            </w:r>
          </w:p>
        </w:tc>
        <w:tc>
          <w:tcPr>
            <w:tcW w:w="1509" w:type="dxa"/>
            <w:tcBorders>
              <w:top w:val="single" w:sz="4" w:space="0" w:color="auto"/>
            </w:tcBorders>
          </w:tcPr>
          <w:p w14:paraId="180B8F7E"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8.2%</w:t>
            </w:r>
          </w:p>
        </w:tc>
      </w:tr>
      <w:tr w:rsidR="00B23C53" w:rsidRPr="00E36A85" w14:paraId="106ACA25" w14:textId="77777777" w:rsidTr="00AD6D59">
        <w:tc>
          <w:tcPr>
            <w:tcW w:w="1800" w:type="dxa"/>
          </w:tcPr>
          <w:p w14:paraId="36251972" w14:textId="5C558E36" w:rsidR="00B23C53" w:rsidRPr="00AD6D59" w:rsidRDefault="00AD6D59" w:rsidP="00AD6D59">
            <w:pPr>
              <w:spacing w:line="480" w:lineRule="auto"/>
              <w:rPr>
                <w:rFonts w:ascii="Times New Roman" w:hAnsi="Times New Roman" w:cs="Times New Roman"/>
              </w:rPr>
            </w:pPr>
            <w:r>
              <w:rPr>
                <w:rFonts w:ascii="Times New Roman" w:hAnsi="Times New Roman" w:cs="Times New Roman"/>
              </w:rPr>
              <w:t>Mod</w:t>
            </w:r>
          </w:p>
        </w:tc>
        <w:tc>
          <w:tcPr>
            <w:tcW w:w="6051" w:type="dxa"/>
          </w:tcPr>
          <w:p w14:paraId="4181A358" w14:textId="4F7AA245" w:rsidR="00B23C53" w:rsidRPr="00FA55C8" w:rsidRDefault="001B5492" w:rsidP="00FA55C8">
            <w:pPr>
              <w:spacing w:line="480" w:lineRule="auto"/>
              <w:rPr>
                <w:rFonts w:ascii="Times New Roman" w:hAnsi="Times New Roman" w:cs="Times New Roman"/>
                <w:lang w:val="en-CA"/>
              </w:rPr>
            </w:pPr>
            <w:r>
              <w:rPr>
                <w:rFonts w:ascii="Times New Roman" w:hAnsi="Times New Roman" w:cs="Times New Roman"/>
                <w:lang w:val="en-CA"/>
              </w:rPr>
              <w:t xml:space="preserve">Modified open areas such as agricultural </w:t>
            </w:r>
            <w:r w:rsidR="00C5040B">
              <w:rPr>
                <w:rFonts w:ascii="Times New Roman" w:hAnsi="Times New Roman" w:cs="Times New Roman"/>
                <w:lang w:val="en-CA"/>
              </w:rPr>
              <w:t>areas and deforested areas that are not maintained/mowed</w:t>
            </w:r>
          </w:p>
        </w:tc>
        <w:tc>
          <w:tcPr>
            <w:tcW w:w="1509" w:type="dxa"/>
          </w:tcPr>
          <w:p w14:paraId="256435A5"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16.0%</w:t>
            </w:r>
          </w:p>
        </w:tc>
      </w:tr>
      <w:tr w:rsidR="00B23C53" w:rsidRPr="00E36A85" w14:paraId="0B0326CB" w14:textId="77777777" w:rsidTr="00AD6D59">
        <w:tc>
          <w:tcPr>
            <w:tcW w:w="1800" w:type="dxa"/>
          </w:tcPr>
          <w:p w14:paraId="75143720" w14:textId="681591EE" w:rsidR="00B23C53" w:rsidRPr="00AD6D59" w:rsidRDefault="00AD6D59" w:rsidP="00AD6D59">
            <w:pPr>
              <w:spacing w:line="480" w:lineRule="auto"/>
              <w:rPr>
                <w:rFonts w:ascii="Times New Roman" w:hAnsi="Times New Roman" w:cs="Times New Roman"/>
              </w:rPr>
            </w:pPr>
            <w:r>
              <w:rPr>
                <w:rFonts w:ascii="Times New Roman" w:hAnsi="Times New Roman" w:cs="Times New Roman"/>
              </w:rPr>
              <w:t>Mow</w:t>
            </w:r>
          </w:p>
        </w:tc>
        <w:tc>
          <w:tcPr>
            <w:tcW w:w="6051" w:type="dxa"/>
          </w:tcPr>
          <w:p w14:paraId="6BD9A0B1" w14:textId="1C0857FC" w:rsidR="00B23C53" w:rsidRPr="00FA55C8" w:rsidRDefault="002D6768" w:rsidP="00FA55C8">
            <w:pPr>
              <w:spacing w:line="480" w:lineRule="auto"/>
              <w:rPr>
                <w:rFonts w:ascii="Times New Roman" w:hAnsi="Times New Roman" w:cs="Times New Roman"/>
                <w:lang w:val="en-CA"/>
              </w:rPr>
            </w:pPr>
            <w:r>
              <w:rPr>
                <w:rFonts w:ascii="Times New Roman" w:hAnsi="Times New Roman" w:cs="Times New Roman"/>
                <w:lang w:val="en-CA"/>
              </w:rPr>
              <w:t xml:space="preserve">Open </w:t>
            </w:r>
            <w:r w:rsidR="00C5040B">
              <w:rPr>
                <w:rFonts w:ascii="Times New Roman" w:hAnsi="Times New Roman" w:cs="Times New Roman"/>
                <w:lang w:val="en-CA"/>
              </w:rPr>
              <w:t>mowed/</w:t>
            </w:r>
            <w:r>
              <w:rPr>
                <w:rFonts w:ascii="Times New Roman" w:hAnsi="Times New Roman" w:cs="Times New Roman"/>
                <w:lang w:val="en-CA"/>
              </w:rPr>
              <w:t>maintained grass</w:t>
            </w:r>
          </w:p>
        </w:tc>
        <w:tc>
          <w:tcPr>
            <w:tcW w:w="1509" w:type="dxa"/>
          </w:tcPr>
          <w:p w14:paraId="16F6896F"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7.7%</w:t>
            </w:r>
          </w:p>
        </w:tc>
      </w:tr>
      <w:tr w:rsidR="00B23C53" w:rsidRPr="00E36A85" w14:paraId="3CD60A0C" w14:textId="77777777" w:rsidTr="00AD6D59">
        <w:tc>
          <w:tcPr>
            <w:tcW w:w="1800" w:type="dxa"/>
          </w:tcPr>
          <w:p w14:paraId="769E8C00" w14:textId="7CC66414" w:rsidR="00B23C53" w:rsidRPr="00AD6D59" w:rsidRDefault="00AD6D59" w:rsidP="00AD6D59">
            <w:pPr>
              <w:spacing w:line="480" w:lineRule="auto"/>
              <w:rPr>
                <w:rFonts w:ascii="Times New Roman" w:hAnsi="Times New Roman" w:cs="Times New Roman"/>
              </w:rPr>
            </w:pPr>
            <w:r>
              <w:rPr>
                <w:rFonts w:ascii="Times New Roman" w:hAnsi="Times New Roman" w:cs="Times New Roman"/>
              </w:rPr>
              <w:t>Water</w:t>
            </w:r>
          </w:p>
        </w:tc>
        <w:tc>
          <w:tcPr>
            <w:tcW w:w="6051" w:type="dxa"/>
          </w:tcPr>
          <w:p w14:paraId="12F3E775" w14:textId="2393C2A2" w:rsidR="00B23C53" w:rsidRPr="00FA55C8" w:rsidRDefault="00B23C53" w:rsidP="00FA55C8">
            <w:pPr>
              <w:spacing w:line="480" w:lineRule="auto"/>
              <w:rPr>
                <w:rFonts w:ascii="Times New Roman" w:hAnsi="Times New Roman" w:cs="Times New Roman"/>
                <w:lang w:val="en-CA"/>
              </w:rPr>
            </w:pPr>
            <w:r w:rsidRPr="00FA55C8">
              <w:rPr>
                <w:rFonts w:ascii="Times New Roman" w:hAnsi="Times New Roman" w:cs="Times New Roman"/>
                <w:lang w:val="en-CA"/>
              </w:rPr>
              <w:t>Water (anthropogenic or natural in origin)</w:t>
            </w:r>
          </w:p>
        </w:tc>
        <w:tc>
          <w:tcPr>
            <w:tcW w:w="1509" w:type="dxa"/>
          </w:tcPr>
          <w:p w14:paraId="32031F57"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2.7%</w:t>
            </w:r>
          </w:p>
        </w:tc>
      </w:tr>
      <w:tr w:rsidR="00B23C53" w:rsidRPr="00E36A85" w14:paraId="7A604F20" w14:textId="77777777" w:rsidTr="00AD6D59">
        <w:tc>
          <w:tcPr>
            <w:tcW w:w="1800" w:type="dxa"/>
          </w:tcPr>
          <w:p w14:paraId="01B69C6E" w14:textId="01AD26B5" w:rsidR="00B23C53" w:rsidRPr="00AD6D59" w:rsidRDefault="00AD6D59" w:rsidP="00AD6D59">
            <w:pPr>
              <w:spacing w:line="480" w:lineRule="auto"/>
              <w:rPr>
                <w:rFonts w:ascii="Times New Roman" w:hAnsi="Times New Roman" w:cs="Times New Roman"/>
              </w:rPr>
            </w:pPr>
            <w:r>
              <w:rPr>
                <w:rFonts w:ascii="Times New Roman" w:hAnsi="Times New Roman" w:cs="Times New Roman"/>
              </w:rPr>
              <w:t>Res</w:t>
            </w:r>
          </w:p>
        </w:tc>
        <w:tc>
          <w:tcPr>
            <w:tcW w:w="6051" w:type="dxa"/>
          </w:tcPr>
          <w:p w14:paraId="7A4C4619" w14:textId="5D5CEFC7" w:rsidR="00B23C53" w:rsidRPr="00FA55C8" w:rsidRDefault="00FA55C8" w:rsidP="00FA55C8">
            <w:pPr>
              <w:spacing w:line="480" w:lineRule="auto"/>
              <w:rPr>
                <w:rFonts w:ascii="Times New Roman" w:hAnsi="Times New Roman" w:cs="Times New Roman"/>
                <w:lang w:val="en-CA"/>
              </w:rPr>
            </w:pPr>
            <w:r>
              <w:rPr>
                <w:rFonts w:ascii="Times New Roman" w:hAnsi="Times New Roman" w:cs="Times New Roman"/>
                <w:lang w:val="en-CA"/>
              </w:rPr>
              <w:t>Developed r</w:t>
            </w:r>
            <w:r w:rsidR="00B23C53" w:rsidRPr="00FA55C8">
              <w:rPr>
                <w:rFonts w:ascii="Times New Roman" w:hAnsi="Times New Roman" w:cs="Times New Roman"/>
                <w:lang w:val="en-CA"/>
              </w:rPr>
              <w:t>esidential areas</w:t>
            </w:r>
          </w:p>
        </w:tc>
        <w:tc>
          <w:tcPr>
            <w:tcW w:w="1509" w:type="dxa"/>
          </w:tcPr>
          <w:p w14:paraId="5B2A21D2"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42.0%</w:t>
            </w:r>
          </w:p>
        </w:tc>
      </w:tr>
      <w:tr w:rsidR="00B23C53" w:rsidRPr="00E36A85" w14:paraId="3C194EFD" w14:textId="77777777" w:rsidTr="00AD6D59">
        <w:tc>
          <w:tcPr>
            <w:tcW w:w="1800" w:type="dxa"/>
          </w:tcPr>
          <w:p w14:paraId="5815BFA9" w14:textId="64E14875" w:rsidR="00B23C53" w:rsidRPr="00AD6D59" w:rsidRDefault="00AD6D59" w:rsidP="00AD6D59">
            <w:pPr>
              <w:spacing w:line="480" w:lineRule="auto"/>
              <w:rPr>
                <w:rFonts w:ascii="Times New Roman" w:hAnsi="Times New Roman" w:cs="Times New Roman"/>
              </w:rPr>
            </w:pPr>
            <w:r>
              <w:rPr>
                <w:rFonts w:ascii="Times New Roman" w:hAnsi="Times New Roman" w:cs="Times New Roman"/>
              </w:rPr>
              <w:t>Com</w:t>
            </w:r>
          </w:p>
        </w:tc>
        <w:tc>
          <w:tcPr>
            <w:tcW w:w="6051" w:type="dxa"/>
          </w:tcPr>
          <w:p w14:paraId="5BC876A9" w14:textId="559BE10E" w:rsidR="00B23C53" w:rsidRPr="00FA55C8" w:rsidRDefault="00B23C53" w:rsidP="00FA55C8">
            <w:pPr>
              <w:spacing w:line="480" w:lineRule="auto"/>
              <w:rPr>
                <w:rFonts w:ascii="Times New Roman" w:hAnsi="Times New Roman" w:cs="Times New Roman"/>
                <w:lang w:val="en-CA"/>
              </w:rPr>
            </w:pPr>
            <w:r w:rsidRPr="00FA55C8">
              <w:rPr>
                <w:rFonts w:ascii="Times New Roman" w:hAnsi="Times New Roman" w:cs="Times New Roman"/>
                <w:lang w:val="en-CA"/>
              </w:rPr>
              <w:t>Highly developed commercial areas</w:t>
            </w:r>
          </w:p>
        </w:tc>
        <w:tc>
          <w:tcPr>
            <w:tcW w:w="1509" w:type="dxa"/>
          </w:tcPr>
          <w:p w14:paraId="347D0AEF" w14:textId="77777777" w:rsidR="00B23C53" w:rsidRPr="00E36A85" w:rsidRDefault="00B23C53" w:rsidP="00DE5026">
            <w:pPr>
              <w:spacing w:line="480" w:lineRule="auto"/>
              <w:jc w:val="center"/>
              <w:rPr>
                <w:rFonts w:ascii="Times New Roman" w:hAnsi="Times New Roman" w:cs="Times New Roman"/>
                <w:lang w:val="en-CA"/>
              </w:rPr>
            </w:pPr>
            <w:r w:rsidRPr="00E36A85">
              <w:rPr>
                <w:rFonts w:ascii="Times New Roman" w:hAnsi="Times New Roman" w:cs="Times New Roman"/>
                <w:lang w:val="en-CA"/>
              </w:rPr>
              <w:t>23.4%</w:t>
            </w:r>
          </w:p>
        </w:tc>
      </w:tr>
      <w:tr w:rsidR="009563ED" w:rsidRPr="00E36A85" w14:paraId="45390926" w14:textId="77777777" w:rsidTr="00AD6D59">
        <w:tc>
          <w:tcPr>
            <w:tcW w:w="1800" w:type="dxa"/>
          </w:tcPr>
          <w:p w14:paraId="6C731ECD" w14:textId="0219278F" w:rsidR="009563ED" w:rsidRDefault="00994722" w:rsidP="00AD6D59">
            <w:pPr>
              <w:spacing w:line="480" w:lineRule="auto"/>
              <w:rPr>
                <w:rFonts w:ascii="Times New Roman" w:hAnsi="Times New Roman" w:cs="Times New Roman"/>
              </w:rPr>
            </w:pPr>
            <w:r>
              <w:rPr>
                <w:rFonts w:ascii="Times New Roman" w:hAnsi="Times New Roman" w:cs="Times New Roman"/>
              </w:rPr>
              <w:t>Build</w:t>
            </w:r>
          </w:p>
        </w:tc>
        <w:tc>
          <w:tcPr>
            <w:tcW w:w="6051" w:type="dxa"/>
          </w:tcPr>
          <w:p w14:paraId="17718BDF" w14:textId="2C89B62D" w:rsidR="009563ED" w:rsidRPr="00FA55C8" w:rsidRDefault="00994722" w:rsidP="00FA55C8">
            <w:pPr>
              <w:spacing w:line="480" w:lineRule="auto"/>
              <w:rPr>
                <w:rFonts w:ascii="Times New Roman" w:hAnsi="Times New Roman" w:cs="Times New Roman"/>
              </w:rPr>
            </w:pPr>
            <w:r>
              <w:rPr>
                <w:rFonts w:ascii="Times New Roman" w:hAnsi="Times New Roman" w:cs="Times New Roman"/>
              </w:rPr>
              <w:t xml:space="preserve">Building density </w:t>
            </w:r>
          </w:p>
        </w:tc>
        <w:tc>
          <w:tcPr>
            <w:tcW w:w="1509" w:type="dxa"/>
          </w:tcPr>
          <w:p w14:paraId="7A0FA4FA" w14:textId="417E25BD" w:rsidR="009563ED" w:rsidRPr="00E36A85" w:rsidRDefault="00746B5B" w:rsidP="00DE5026">
            <w:pPr>
              <w:spacing w:line="480" w:lineRule="auto"/>
              <w:jc w:val="center"/>
              <w:rPr>
                <w:rFonts w:ascii="Times New Roman" w:hAnsi="Times New Roman" w:cs="Times New Roman"/>
              </w:rPr>
            </w:pPr>
            <w:r>
              <w:rPr>
                <w:rFonts w:ascii="Times New Roman" w:hAnsi="Times New Roman" w:cs="Times New Roman"/>
              </w:rPr>
              <w:t>NA</w:t>
            </w:r>
          </w:p>
        </w:tc>
      </w:tr>
      <w:tr w:rsidR="009563ED" w:rsidRPr="00E36A85" w14:paraId="3CA96C00" w14:textId="77777777" w:rsidTr="00AD6D59">
        <w:tc>
          <w:tcPr>
            <w:tcW w:w="1800" w:type="dxa"/>
          </w:tcPr>
          <w:p w14:paraId="6BF950C6" w14:textId="2F1B1264" w:rsidR="009563ED" w:rsidRDefault="00746B5B" w:rsidP="00AD6D59">
            <w:pPr>
              <w:spacing w:line="480" w:lineRule="auto"/>
              <w:rPr>
                <w:rFonts w:ascii="Times New Roman" w:hAnsi="Times New Roman" w:cs="Times New Roman"/>
              </w:rPr>
            </w:pPr>
            <w:proofErr w:type="spellStart"/>
            <w:r>
              <w:rPr>
                <w:rFonts w:ascii="Times New Roman" w:hAnsi="Times New Roman" w:cs="Times New Roman"/>
              </w:rPr>
              <w:t>RoadDist</w:t>
            </w:r>
            <w:proofErr w:type="spellEnd"/>
          </w:p>
        </w:tc>
        <w:tc>
          <w:tcPr>
            <w:tcW w:w="6051" w:type="dxa"/>
          </w:tcPr>
          <w:p w14:paraId="569CB7A3" w14:textId="4ABF6B36" w:rsidR="009563ED" w:rsidRPr="00FA55C8" w:rsidRDefault="00AB3737" w:rsidP="00FA55C8">
            <w:pPr>
              <w:spacing w:line="480" w:lineRule="auto"/>
              <w:rPr>
                <w:rFonts w:ascii="Times New Roman" w:hAnsi="Times New Roman" w:cs="Times New Roman"/>
              </w:rPr>
            </w:pPr>
            <w:r>
              <w:rPr>
                <w:rFonts w:ascii="Times New Roman" w:hAnsi="Times New Roman" w:cs="Times New Roman"/>
              </w:rPr>
              <w:t>Road Distance Decay</w:t>
            </w:r>
            <w:r w:rsidR="00A67E42">
              <w:rPr>
                <w:rFonts w:ascii="Times New Roman" w:hAnsi="Times New Roman" w:cs="Times New Roman"/>
              </w:rPr>
              <w:t xml:space="preserve"> (</w:t>
            </w:r>
            <w:r w:rsidRPr="00E36A85">
              <w:rPr>
                <w:rFonts w:ascii="Times New Roman" w:hAnsi="Times New Roman" w:cs="Times New Roman"/>
                <w:i/>
                <w:iCs/>
                <w:lang w:val="en-CA"/>
              </w:rPr>
              <w:t>e</w:t>
            </w:r>
            <w:r w:rsidRPr="00E36A85">
              <w:rPr>
                <w:rFonts w:ascii="Times New Roman" w:hAnsi="Times New Roman" w:cs="Times New Roman"/>
                <w:vertAlign w:val="superscript"/>
                <w:lang w:val="en-CA"/>
              </w:rPr>
              <w:t>-</w:t>
            </w:r>
            <w:r w:rsidRPr="00E36A85">
              <w:rPr>
                <w:rFonts w:ascii="Times New Roman" w:hAnsi="Times New Roman" w:cs="Times New Roman"/>
                <w:i/>
                <w:iCs/>
                <w:vertAlign w:val="superscript"/>
                <w:lang w:val="en-CA"/>
              </w:rPr>
              <w:t>ad</w:t>
            </w:r>
            <w:r w:rsidRPr="00E36A85">
              <w:rPr>
                <w:rFonts w:ascii="Times New Roman" w:hAnsi="Times New Roman" w:cs="Times New Roman"/>
                <w:lang w:val="en-CA"/>
              </w:rPr>
              <w:t>, d = distance to roads, a = 0.002</w:t>
            </w:r>
            <w:r>
              <w:rPr>
                <w:rFonts w:ascii="Times New Roman" w:hAnsi="Times New Roman" w:cs="Times New Roman"/>
                <w:lang w:val="en-CA"/>
              </w:rPr>
              <w:t>)</w:t>
            </w:r>
          </w:p>
        </w:tc>
        <w:tc>
          <w:tcPr>
            <w:tcW w:w="1509" w:type="dxa"/>
          </w:tcPr>
          <w:p w14:paraId="553DBDDB" w14:textId="2B11DD8F" w:rsidR="009563ED" w:rsidRPr="00E36A85" w:rsidRDefault="00F401C0" w:rsidP="00DE5026">
            <w:pPr>
              <w:spacing w:line="480" w:lineRule="auto"/>
              <w:jc w:val="center"/>
              <w:rPr>
                <w:rFonts w:ascii="Times New Roman" w:hAnsi="Times New Roman" w:cs="Times New Roman"/>
              </w:rPr>
            </w:pPr>
            <w:r>
              <w:rPr>
                <w:rFonts w:ascii="Times New Roman" w:hAnsi="Times New Roman" w:cs="Times New Roman"/>
              </w:rPr>
              <w:t>NA</w:t>
            </w:r>
          </w:p>
        </w:tc>
      </w:tr>
    </w:tbl>
    <w:p w14:paraId="42965B2E" w14:textId="104A3240" w:rsidR="00DB5E2D" w:rsidRDefault="00DB5E2D"/>
    <w:p w14:paraId="09767867" w14:textId="20F5AEE8" w:rsidR="00602A09" w:rsidRDefault="00602A09"/>
    <w:p w14:paraId="0C43C98F" w14:textId="1F982D2C" w:rsidR="00602A09" w:rsidRDefault="00602A09"/>
    <w:p w14:paraId="2C09A9A2" w14:textId="77777777" w:rsidR="00602A09" w:rsidRDefault="00602A09"/>
    <w:p w14:paraId="1C221606" w14:textId="0A727095" w:rsidR="00E7567E" w:rsidRDefault="007217E8">
      <w:r w:rsidRPr="007217E8">
        <w:rPr>
          <w:noProof/>
        </w:rPr>
        <w:lastRenderedPageBreak/>
        <w:drawing>
          <wp:inline distT="0" distB="0" distL="0" distR="0" wp14:anchorId="6355ADA3" wp14:editId="7A1F11D6">
            <wp:extent cx="5943600" cy="23514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5"/>
                    <a:stretch>
                      <a:fillRect/>
                    </a:stretch>
                  </pic:blipFill>
                  <pic:spPr>
                    <a:xfrm>
                      <a:off x="0" y="0"/>
                      <a:ext cx="5943600" cy="2351405"/>
                    </a:xfrm>
                    <a:prstGeom prst="rect">
                      <a:avLst/>
                    </a:prstGeom>
                  </pic:spPr>
                </pic:pic>
              </a:graphicData>
            </a:graphic>
          </wp:inline>
        </w:drawing>
      </w:r>
    </w:p>
    <w:p w14:paraId="25270550" w14:textId="09658B3B" w:rsidR="00E7567E" w:rsidRDefault="00C14993">
      <w:r>
        <w:t xml:space="preserve">Figure X. The percentage of annual classifiable coyote reports within each of the coyote boldness or human perception categories. </w:t>
      </w:r>
      <w:r w:rsidR="00511668">
        <w:t>Numbers at the top of bars denote the number of classified reports per year</w:t>
      </w:r>
      <w:r w:rsidR="0023679B">
        <w:t xml:space="preserve">. </w:t>
      </w:r>
    </w:p>
    <w:p w14:paraId="20BC22D3" w14:textId="22DC775B" w:rsidR="008573DF" w:rsidRDefault="008573DF"/>
    <w:p w14:paraId="7EDBA8AF" w14:textId="3F40FB6E" w:rsidR="008573DF" w:rsidRDefault="008573DF"/>
    <w:p w14:paraId="36C4D639" w14:textId="385B0852" w:rsidR="003849A4" w:rsidRDefault="003849A4"/>
    <w:p w14:paraId="175B13CC" w14:textId="030AA62F" w:rsidR="003849A4" w:rsidRDefault="001E3A29">
      <w:r>
        <w:t>SUPPLEMENTARY FIGURE 1</w:t>
      </w:r>
    </w:p>
    <w:p w14:paraId="4A960F2C" w14:textId="53774A84" w:rsidR="001E3A29" w:rsidRDefault="001E3A29">
      <w:r>
        <w:t xml:space="preserve"> </w:t>
      </w:r>
      <w:r w:rsidR="00BE21DB" w:rsidRPr="00BE21DB">
        <w:drawing>
          <wp:inline distT="0" distB="0" distL="0" distR="0" wp14:anchorId="22729C5F" wp14:editId="06968208">
            <wp:extent cx="5943600" cy="306959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3069590"/>
                    </a:xfrm>
                    <a:prstGeom prst="rect">
                      <a:avLst/>
                    </a:prstGeom>
                  </pic:spPr>
                </pic:pic>
              </a:graphicData>
            </a:graphic>
          </wp:inline>
        </w:drawing>
      </w:r>
    </w:p>
    <w:p w14:paraId="0FC1834A" w14:textId="2384674B" w:rsidR="004F28A7" w:rsidRDefault="001E3A29">
      <w:r>
        <w:t>Figure S1</w:t>
      </w:r>
      <w:r w:rsidR="00F95740">
        <w:t xml:space="preserve">. Distribution of coyote reports (in raw numbers) across </w:t>
      </w:r>
      <w:r w:rsidR="00D10081">
        <w:t xml:space="preserve">habitat types, years, months, time of day, human activity, and several contextual variables. </w:t>
      </w:r>
    </w:p>
    <w:p w14:paraId="73146718" w14:textId="754C78E4" w:rsidR="004F28A7" w:rsidRDefault="00BE21DB">
      <w:r w:rsidRPr="00BE21DB">
        <w:lastRenderedPageBreak/>
        <w:drawing>
          <wp:inline distT="0" distB="0" distL="0" distR="0" wp14:anchorId="11C6B95E" wp14:editId="6095EACC">
            <wp:extent cx="5943600" cy="531685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5316855"/>
                    </a:xfrm>
                    <a:prstGeom prst="rect">
                      <a:avLst/>
                    </a:prstGeom>
                  </pic:spPr>
                </pic:pic>
              </a:graphicData>
            </a:graphic>
          </wp:inline>
        </w:drawing>
      </w:r>
    </w:p>
    <w:p w14:paraId="566D218B" w14:textId="09BD6B9F" w:rsidR="004F28A7" w:rsidRDefault="004F28A7">
      <w:r>
        <w:t xml:space="preserve">Supplementary Figure X: Changes in </w:t>
      </w:r>
      <w:r w:rsidR="001F7A6B">
        <w:t>coyote boldness and human perceptions across habitat types. Habitat types were classified as the dominant habitat type within a 200m buffer</w:t>
      </w:r>
    </w:p>
    <w:p w14:paraId="42D655FA" w14:textId="33AD3FE6" w:rsidR="00602A09" w:rsidRDefault="00602A09"/>
    <w:p w14:paraId="1879197F" w14:textId="148DC6D2" w:rsidR="00602A09" w:rsidRDefault="00BE21DB">
      <w:r w:rsidRPr="00BE21DB">
        <w:lastRenderedPageBreak/>
        <w:drawing>
          <wp:inline distT="0" distB="0" distL="0" distR="0" wp14:anchorId="1E111ABE" wp14:editId="113BA432">
            <wp:extent cx="4709568" cy="5364945"/>
            <wp:effectExtent l="0" t="0" r="0" b="762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stretch>
                      <a:fillRect/>
                    </a:stretch>
                  </pic:blipFill>
                  <pic:spPr>
                    <a:xfrm>
                      <a:off x="0" y="0"/>
                      <a:ext cx="4709568" cy="5364945"/>
                    </a:xfrm>
                    <a:prstGeom prst="rect">
                      <a:avLst/>
                    </a:prstGeom>
                  </pic:spPr>
                </pic:pic>
              </a:graphicData>
            </a:graphic>
          </wp:inline>
        </w:drawing>
      </w:r>
    </w:p>
    <w:p w14:paraId="75F65628" w14:textId="117CD4E1" w:rsidR="00602A09" w:rsidRDefault="00602A09">
      <w:r>
        <w:t>Supplementary Figure X: Change in coyote boldness over years</w:t>
      </w:r>
      <w:r w:rsidR="007B565B">
        <w:t xml:space="preserve"> in each of the habitat types</w:t>
      </w:r>
    </w:p>
    <w:p w14:paraId="04B4F84F" w14:textId="16C80966" w:rsidR="00684D91" w:rsidRDefault="001F511B">
      <w:r w:rsidRPr="001F511B">
        <w:rPr>
          <w:noProof/>
        </w:rPr>
        <w:lastRenderedPageBreak/>
        <w:drawing>
          <wp:inline distT="0" distB="0" distL="0" distR="0" wp14:anchorId="131D44FB" wp14:editId="667B39B3">
            <wp:extent cx="5943600" cy="5119370"/>
            <wp:effectExtent l="0" t="0" r="0" b="508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9"/>
                    <a:stretch>
                      <a:fillRect/>
                    </a:stretch>
                  </pic:blipFill>
                  <pic:spPr>
                    <a:xfrm>
                      <a:off x="0" y="0"/>
                      <a:ext cx="5943600" cy="5119370"/>
                    </a:xfrm>
                    <a:prstGeom prst="rect">
                      <a:avLst/>
                    </a:prstGeom>
                  </pic:spPr>
                </pic:pic>
              </a:graphicData>
            </a:graphic>
          </wp:inline>
        </w:drawing>
      </w:r>
    </w:p>
    <w:p w14:paraId="3E328765" w14:textId="19C86F9C" w:rsidR="00684D91" w:rsidRDefault="00684D91">
      <w:r>
        <w:t>Supplementary Figure X: Changes in coyote boldness and human perceptions over the months of the year</w:t>
      </w:r>
    </w:p>
    <w:p w14:paraId="396E7383" w14:textId="226CA0CD" w:rsidR="00CA46D1" w:rsidRDefault="00CA46D1"/>
    <w:p w14:paraId="3C619E9B" w14:textId="20E96A20" w:rsidR="00CA46D1" w:rsidRDefault="001F511B">
      <w:r w:rsidRPr="001F511B">
        <w:rPr>
          <w:noProof/>
        </w:rPr>
        <w:lastRenderedPageBreak/>
        <w:drawing>
          <wp:inline distT="0" distB="0" distL="0" distR="0" wp14:anchorId="35990872" wp14:editId="4AE5C771">
            <wp:extent cx="4656223" cy="6020322"/>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0"/>
                    <a:stretch>
                      <a:fillRect/>
                    </a:stretch>
                  </pic:blipFill>
                  <pic:spPr>
                    <a:xfrm>
                      <a:off x="0" y="0"/>
                      <a:ext cx="4656223" cy="6020322"/>
                    </a:xfrm>
                    <a:prstGeom prst="rect">
                      <a:avLst/>
                    </a:prstGeom>
                  </pic:spPr>
                </pic:pic>
              </a:graphicData>
            </a:graphic>
          </wp:inline>
        </w:drawing>
      </w:r>
    </w:p>
    <w:p w14:paraId="11C6CE96" w14:textId="4A5B9C3D" w:rsidR="00CA46D1" w:rsidRDefault="00CA46D1">
      <w:r>
        <w:t>Supplementary Figure X: Changes in coyote boldness and human perceptions over the time of day</w:t>
      </w:r>
    </w:p>
    <w:p w14:paraId="0FA6FF2A" w14:textId="1497B5BE" w:rsidR="00CA46D1" w:rsidRDefault="00CA46D1"/>
    <w:p w14:paraId="1B23F871" w14:textId="4C45C7EE" w:rsidR="00CA46D1" w:rsidRDefault="00CA46D1"/>
    <w:p w14:paraId="2C13CB08" w14:textId="38EB9236" w:rsidR="007D1CC1" w:rsidRDefault="00C14B5E">
      <w:r w:rsidRPr="00C14B5E">
        <w:rPr>
          <w:noProof/>
        </w:rPr>
        <w:lastRenderedPageBreak/>
        <w:drawing>
          <wp:inline distT="0" distB="0" distL="0" distR="0" wp14:anchorId="4054E401" wp14:editId="5D5A59B8">
            <wp:extent cx="5943600" cy="3465830"/>
            <wp:effectExtent l="0" t="0" r="0" b="127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943600" cy="3465830"/>
                    </a:xfrm>
                    <a:prstGeom prst="rect">
                      <a:avLst/>
                    </a:prstGeom>
                  </pic:spPr>
                </pic:pic>
              </a:graphicData>
            </a:graphic>
          </wp:inline>
        </w:drawing>
      </w:r>
    </w:p>
    <w:p w14:paraId="2F339590" w14:textId="6D60A6AA" w:rsidR="007D1CC1" w:rsidRDefault="007D1CC1">
      <w:r>
        <w:t xml:space="preserve">Supplementary Figure X: </w:t>
      </w:r>
      <w:r w:rsidR="00152B44">
        <w:t xml:space="preserve">Changes in coyote boldness and human perceptions for each of the contextual variables. </w:t>
      </w:r>
    </w:p>
    <w:p w14:paraId="16BC7A19" w14:textId="77777777" w:rsidR="00152B44" w:rsidRDefault="00152B44"/>
    <w:p w14:paraId="4209EA69" w14:textId="766E0F19" w:rsidR="00CA46D1" w:rsidRDefault="00C14B5E">
      <w:r w:rsidRPr="00C14B5E">
        <w:rPr>
          <w:noProof/>
        </w:rPr>
        <w:lastRenderedPageBreak/>
        <w:drawing>
          <wp:inline distT="0" distB="0" distL="0" distR="0" wp14:anchorId="21BCBE3D" wp14:editId="7A56FE7E">
            <wp:extent cx="5943600" cy="631317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6313170"/>
                    </a:xfrm>
                    <a:prstGeom prst="rect">
                      <a:avLst/>
                    </a:prstGeom>
                  </pic:spPr>
                </pic:pic>
              </a:graphicData>
            </a:graphic>
          </wp:inline>
        </w:drawing>
      </w:r>
    </w:p>
    <w:p w14:paraId="77461E80" w14:textId="692EA483" w:rsidR="00C14B5E" w:rsidRDefault="00C14B5E">
      <w:r>
        <w:t xml:space="preserve">Figure SX: Change in coyote boldness and human perception in relation to dog status. </w:t>
      </w:r>
    </w:p>
    <w:p w14:paraId="3D6A3724" w14:textId="2ED23C17" w:rsidR="003E3966" w:rsidRDefault="003E3966"/>
    <w:p w14:paraId="52581A4B" w14:textId="6FC6987F" w:rsidR="003E3966" w:rsidRDefault="00631427">
      <w:r w:rsidRPr="00631427">
        <w:rPr>
          <w:noProof/>
        </w:rPr>
        <w:lastRenderedPageBreak/>
        <w:drawing>
          <wp:inline distT="0" distB="0" distL="0" distR="0" wp14:anchorId="3C55094A" wp14:editId="2F552058">
            <wp:extent cx="5943600" cy="358203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stretch>
                      <a:fillRect/>
                    </a:stretch>
                  </pic:blipFill>
                  <pic:spPr>
                    <a:xfrm>
                      <a:off x="0" y="0"/>
                      <a:ext cx="5943600" cy="3582035"/>
                    </a:xfrm>
                    <a:prstGeom prst="rect">
                      <a:avLst/>
                    </a:prstGeom>
                  </pic:spPr>
                </pic:pic>
              </a:graphicData>
            </a:graphic>
          </wp:inline>
        </w:drawing>
      </w:r>
    </w:p>
    <w:p w14:paraId="30D539BF" w14:textId="05D84E2C" w:rsidR="00631427" w:rsidRDefault="00631427">
      <w:r>
        <w:t>Figure SX: The effect of dogs on coyote boldness in various habitat types</w:t>
      </w:r>
    </w:p>
    <w:p w14:paraId="563B9146" w14:textId="57FFD51B" w:rsidR="00631427" w:rsidRDefault="00631427"/>
    <w:p w14:paraId="0C9F63F3" w14:textId="59CA0D69" w:rsidR="00631427" w:rsidRDefault="00631427"/>
    <w:p w14:paraId="37714E76" w14:textId="60F7CD3D" w:rsidR="00631427" w:rsidRDefault="00631427">
      <w:r w:rsidRPr="00631427">
        <w:rPr>
          <w:noProof/>
        </w:rPr>
        <w:lastRenderedPageBreak/>
        <w:drawing>
          <wp:inline distT="0" distB="0" distL="0" distR="0" wp14:anchorId="1D8993B3" wp14:editId="5711AC06">
            <wp:extent cx="5943600" cy="516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66360"/>
                    </a:xfrm>
                    <a:prstGeom prst="rect">
                      <a:avLst/>
                    </a:prstGeom>
                  </pic:spPr>
                </pic:pic>
              </a:graphicData>
            </a:graphic>
          </wp:inline>
        </w:drawing>
      </w:r>
    </w:p>
    <w:p w14:paraId="4A7B1824" w14:textId="28374AA6" w:rsidR="00631427" w:rsidRDefault="00631427">
      <w:r>
        <w:t>Figure SX: Human-coyote interactions across habitat type and season</w:t>
      </w:r>
    </w:p>
    <w:p w14:paraId="6C37848A" w14:textId="4EC692C1" w:rsidR="00405314" w:rsidRDefault="00405314"/>
    <w:p w14:paraId="32F8CEAE" w14:textId="0E1DB784" w:rsidR="00C64786" w:rsidRDefault="00C64786"/>
    <w:p w14:paraId="2515EF50" w14:textId="77777777" w:rsidR="00C64786" w:rsidRDefault="00C64786"/>
    <w:p w14:paraId="7965CF79" w14:textId="001205FD" w:rsidR="00CA2615" w:rsidRDefault="00405314">
      <w:r>
        <w:t xml:space="preserve">Table Supplementary: Contextual variables </w:t>
      </w:r>
    </w:p>
    <w:tbl>
      <w:tblPr>
        <w:tblStyle w:val="TableGrid"/>
        <w:tblW w:w="10255" w:type="dxa"/>
        <w:tblLook w:val="04A0" w:firstRow="1" w:lastRow="0" w:firstColumn="1" w:lastColumn="0" w:noHBand="0" w:noVBand="1"/>
      </w:tblPr>
      <w:tblGrid>
        <w:gridCol w:w="3240"/>
        <w:gridCol w:w="7015"/>
      </w:tblGrid>
      <w:tr w:rsidR="004A5F28" w14:paraId="295ABEE2" w14:textId="77777777" w:rsidTr="004A5F28">
        <w:trPr>
          <w:trHeight w:val="296"/>
        </w:trPr>
        <w:tc>
          <w:tcPr>
            <w:tcW w:w="3240" w:type="dxa"/>
          </w:tcPr>
          <w:p w14:paraId="097E0B20" w14:textId="069D90E5" w:rsidR="004A5F28" w:rsidRDefault="004A5F28">
            <w:r>
              <w:t>Contextual Variable</w:t>
            </w:r>
          </w:p>
        </w:tc>
        <w:tc>
          <w:tcPr>
            <w:tcW w:w="7015" w:type="dxa"/>
          </w:tcPr>
          <w:p w14:paraId="437D82D2" w14:textId="63DFDBBF" w:rsidR="004A5F28" w:rsidRDefault="004A5F28">
            <w:r>
              <w:t>Variable Categories</w:t>
            </w:r>
          </w:p>
        </w:tc>
      </w:tr>
      <w:tr w:rsidR="004A5F28" w14:paraId="3E43900A" w14:textId="77777777" w:rsidTr="004A5F28">
        <w:trPr>
          <w:trHeight w:val="310"/>
        </w:trPr>
        <w:tc>
          <w:tcPr>
            <w:tcW w:w="3240" w:type="dxa"/>
          </w:tcPr>
          <w:p w14:paraId="1959B82C" w14:textId="6F6B402F" w:rsidR="004A5F28" w:rsidRDefault="004A5F28">
            <w:r>
              <w:t>Human activity</w:t>
            </w:r>
          </w:p>
        </w:tc>
        <w:tc>
          <w:tcPr>
            <w:tcW w:w="7015" w:type="dxa"/>
          </w:tcPr>
          <w:p w14:paraId="21FB422F" w14:textId="76513518" w:rsidR="004A5F28" w:rsidRDefault="004A5F28">
            <w:r>
              <w:t>Walking</w:t>
            </w:r>
          </w:p>
        </w:tc>
      </w:tr>
      <w:tr w:rsidR="004A5F28" w14:paraId="55B5AABE" w14:textId="77777777" w:rsidTr="004A5F28">
        <w:trPr>
          <w:trHeight w:val="296"/>
        </w:trPr>
        <w:tc>
          <w:tcPr>
            <w:tcW w:w="3240" w:type="dxa"/>
          </w:tcPr>
          <w:p w14:paraId="40F9A952" w14:textId="77777777" w:rsidR="004A5F28" w:rsidRDefault="004A5F28"/>
        </w:tc>
        <w:tc>
          <w:tcPr>
            <w:tcW w:w="7015" w:type="dxa"/>
          </w:tcPr>
          <w:p w14:paraId="44E198E3" w14:textId="32FBD9BC" w:rsidR="004A5F28" w:rsidRDefault="004A5F28">
            <w:r>
              <w:t>Cycling</w:t>
            </w:r>
          </w:p>
        </w:tc>
      </w:tr>
      <w:tr w:rsidR="004A5F28" w14:paraId="37822B2D" w14:textId="77777777" w:rsidTr="004A5F28">
        <w:trPr>
          <w:trHeight w:val="296"/>
        </w:trPr>
        <w:tc>
          <w:tcPr>
            <w:tcW w:w="3240" w:type="dxa"/>
          </w:tcPr>
          <w:p w14:paraId="3564304A" w14:textId="77777777" w:rsidR="004A5F28" w:rsidRDefault="004A5F28"/>
        </w:tc>
        <w:tc>
          <w:tcPr>
            <w:tcW w:w="7015" w:type="dxa"/>
          </w:tcPr>
          <w:p w14:paraId="5F9D449F" w14:textId="246129E7" w:rsidR="004A5F28" w:rsidRDefault="004A5F28">
            <w:r>
              <w:t>Outdoor activity (jogging, golfing, hiking, skiing)</w:t>
            </w:r>
          </w:p>
        </w:tc>
      </w:tr>
      <w:tr w:rsidR="004A5F28" w14:paraId="30DD1296" w14:textId="77777777" w:rsidTr="004A5F28">
        <w:trPr>
          <w:trHeight w:val="310"/>
        </w:trPr>
        <w:tc>
          <w:tcPr>
            <w:tcW w:w="3240" w:type="dxa"/>
          </w:tcPr>
          <w:p w14:paraId="17BF395D" w14:textId="77777777" w:rsidR="004A5F28" w:rsidRDefault="004A5F28"/>
        </w:tc>
        <w:tc>
          <w:tcPr>
            <w:tcW w:w="7015" w:type="dxa"/>
          </w:tcPr>
          <w:p w14:paraId="1E085A5C" w14:textId="26D0B3B5" w:rsidR="004A5F28" w:rsidRDefault="004A5F28">
            <w:r>
              <w:t>Driving</w:t>
            </w:r>
          </w:p>
        </w:tc>
      </w:tr>
      <w:tr w:rsidR="004A5F28" w14:paraId="5236F0E6" w14:textId="77777777" w:rsidTr="004A5F28">
        <w:trPr>
          <w:trHeight w:val="296"/>
        </w:trPr>
        <w:tc>
          <w:tcPr>
            <w:tcW w:w="3240" w:type="dxa"/>
          </w:tcPr>
          <w:p w14:paraId="2C1EE0BB" w14:textId="77777777" w:rsidR="004A5F28" w:rsidRDefault="004A5F28"/>
        </w:tc>
        <w:tc>
          <w:tcPr>
            <w:tcW w:w="7015" w:type="dxa"/>
          </w:tcPr>
          <w:p w14:paraId="37A0306A" w14:textId="6AA8E09D" w:rsidR="004A5F28" w:rsidRDefault="004A5F28">
            <w:r>
              <w:t>Home or yard</w:t>
            </w:r>
          </w:p>
        </w:tc>
      </w:tr>
      <w:tr w:rsidR="004A5F28" w14:paraId="49B4C2C3" w14:textId="77777777" w:rsidTr="004A5F28">
        <w:trPr>
          <w:trHeight w:val="296"/>
        </w:trPr>
        <w:tc>
          <w:tcPr>
            <w:tcW w:w="3240" w:type="dxa"/>
          </w:tcPr>
          <w:p w14:paraId="20C492C8" w14:textId="247C841C" w:rsidR="004A5F28" w:rsidRDefault="004A5F28">
            <w:r>
              <w:lastRenderedPageBreak/>
              <w:t>Presence or mention of vulnerable individuals</w:t>
            </w:r>
          </w:p>
        </w:tc>
        <w:tc>
          <w:tcPr>
            <w:tcW w:w="7015" w:type="dxa"/>
          </w:tcPr>
          <w:p w14:paraId="303FB35C" w14:textId="4BF5211B" w:rsidR="004A5F28" w:rsidRDefault="004A5F28">
            <w:r>
              <w:t>Dog</w:t>
            </w:r>
          </w:p>
        </w:tc>
      </w:tr>
      <w:tr w:rsidR="004A5F28" w14:paraId="7C0E895E" w14:textId="77777777" w:rsidTr="004A5F28">
        <w:trPr>
          <w:trHeight w:val="296"/>
        </w:trPr>
        <w:tc>
          <w:tcPr>
            <w:tcW w:w="3240" w:type="dxa"/>
          </w:tcPr>
          <w:p w14:paraId="286C9BCD" w14:textId="77777777" w:rsidR="004A5F28" w:rsidRDefault="004A5F28"/>
        </w:tc>
        <w:tc>
          <w:tcPr>
            <w:tcW w:w="7015" w:type="dxa"/>
          </w:tcPr>
          <w:p w14:paraId="69A1D89E" w14:textId="5CCABC92" w:rsidR="004A5F28" w:rsidRDefault="004A5F28">
            <w:r>
              <w:t>Cat</w:t>
            </w:r>
          </w:p>
        </w:tc>
      </w:tr>
      <w:tr w:rsidR="004A5F28" w14:paraId="722DC949" w14:textId="77777777" w:rsidTr="004A5F28">
        <w:trPr>
          <w:trHeight w:val="296"/>
        </w:trPr>
        <w:tc>
          <w:tcPr>
            <w:tcW w:w="3240" w:type="dxa"/>
          </w:tcPr>
          <w:p w14:paraId="36A08DCE" w14:textId="77777777" w:rsidR="004A5F28" w:rsidRDefault="004A5F28" w:rsidP="00CE67BD"/>
        </w:tc>
        <w:tc>
          <w:tcPr>
            <w:tcW w:w="7015" w:type="dxa"/>
          </w:tcPr>
          <w:p w14:paraId="486CDEF1" w14:textId="6E0C3BD1" w:rsidR="004A5F28" w:rsidRDefault="004A5F28" w:rsidP="00CE67BD">
            <w:r>
              <w:t>Child</w:t>
            </w:r>
          </w:p>
        </w:tc>
      </w:tr>
      <w:tr w:rsidR="004A5F28" w14:paraId="15DDFF6E" w14:textId="77777777" w:rsidTr="004A5F28">
        <w:trPr>
          <w:trHeight w:val="296"/>
        </w:trPr>
        <w:tc>
          <w:tcPr>
            <w:tcW w:w="3240" w:type="dxa"/>
          </w:tcPr>
          <w:p w14:paraId="15D00A5A" w14:textId="77777777" w:rsidR="004A5F28" w:rsidRDefault="004A5F28" w:rsidP="00CE67BD"/>
        </w:tc>
        <w:tc>
          <w:tcPr>
            <w:tcW w:w="7015" w:type="dxa"/>
          </w:tcPr>
          <w:p w14:paraId="6929DBC2" w14:textId="5EEA6922" w:rsidR="004A5F28" w:rsidRDefault="004A5F28" w:rsidP="00CE67BD">
            <w:r>
              <w:t>Multiple (pets and children)</w:t>
            </w:r>
          </w:p>
        </w:tc>
      </w:tr>
      <w:tr w:rsidR="004A5F28" w14:paraId="795EF833" w14:textId="77777777" w:rsidTr="004A5F28">
        <w:trPr>
          <w:trHeight w:val="296"/>
        </w:trPr>
        <w:tc>
          <w:tcPr>
            <w:tcW w:w="3240" w:type="dxa"/>
          </w:tcPr>
          <w:p w14:paraId="36E86DD1" w14:textId="7E2BFE8F" w:rsidR="004A5F28" w:rsidRDefault="004A5F28" w:rsidP="00CE67BD">
            <w:r>
              <w:t>Number of coyotes</w:t>
            </w:r>
          </w:p>
        </w:tc>
        <w:tc>
          <w:tcPr>
            <w:tcW w:w="7015" w:type="dxa"/>
          </w:tcPr>
          <w:p w14:paraId="0DC9B153" w14:textId="38EDE957" w:rsidR="004A5F28" w:rsidRDefault="004A5F28" w:rsidP="00CE67BD">
            <w:r>
              <w:t>One</w:t>
            </w:r>
          </w:p>
        </w:tc>
      </w:tr>
      <w:tr w:rsidR="004A5F28" w14:paraId="548774AE" w14:textId="77777777" w:rsidTr="004A5F28">
        <w:trPr>
          <w:trHeight w:val="296"/>
        </w:trPr>
        <w:tc>
          <w:tcPr>
            <w:tcW w:w="3240" w:type="dxa"/>
          </w:tcPr>
          <w:p w14:paraId="6F7E7AD0" w14:textId="77777777" w:rsidR="004A5F28" w:rsidRDefault="004A5F28" w:rsidP="00CE67BD"/>
        </w:tc>
        <w:tc>
          <w:tcPr>
            <w:tcW w:w="7015" w:type="dxa"/>
          </w:tcPr>
          <w:p w14:paraId="623A5EE5" w14:textId="08F73DB3" w:rsidR="004A5F28" w:rsidRDefault="004A5F28" w:rsidP="00CE67BD">
            <w:r>
              <w:t>Two</w:t>
            </w:r>
          </w:p>
        </w:tc>
      </w:tr>
      <w:tr w:rsidR="004A5F28" w14:paraId="23D11E5B" w14:textId="77777777" w:rsidTr="004A5F28">
        <w:trPr>
          <w:trHeight w:val="296"/>
        </w:trPr>
        <w:tc>
          <w:tcPr>
            <w:tcW w:w="3240" w:type="dxa"/>
          </w:tcPr>
          <w:p w14:paraId="0A2BF3CF" w14:textId="77777777" w:rsidR="004A5F28" w:rsidRDefault="004A5F28" w:rsidP="00CE67BD"/>
        </w:tc>
        <w:tc>
          <w:tcPr>
            <w:tcW w:w="7015" w:type="dxa"/>
          </w:tcPr>
          <w:p w14:paraId="5334F0D7" w14:textId="6EF4ED47" w:rsidR="004A5F28" w:rsidRDefault="004A5F28" w:rsidP="00CE67BD">
            <w:r>
              <w:t>Three</w:t>
            </w:r>
          </w:p>
        </w:tc>
      </w:tr>
      <w:tr w:rsidR="004A5F28" w14:paraId="26F2DB2C" w14:textId="77777777" w:rsidTr="004A5F28">
        <w:trPr>
          <w:trHeight w:val="296"/>
        </w:trPr>
        <w:tc>
          <w:tcPr>
            <w:tcW w:w="3240" w:type="dxa"/>
          </w:tcPr>
          <w:p w14:paraId="74128893" w14:textId="77777777" w:rsidR="004A5F28" w:rsidRDefault="004A5F28" w:rsidP="00CE67BD"/>
        </w:tc>
        <w:tc>
          <w:tcPr>
            <w:tcW w:w="7015" w:type="dxa"/>
          </w:tcPr>
          <w:p w14:paraId="060E698A" w14:textId="59DE808B" w:rsidR="004A5F28" w:rsidRDefault="004A5F28" w:rsidP="00CE67BD">
            <w:r>
              <w:t>More</w:t>
            </w:r>
          </w:p>
        </w:tc>
      </w:tr>
      <w:tr w:rsidR="004A5F28" w14:paraId="06AF74C2" w14:textId="77777777" w:rsidTr="004A5F28">
        <w:trPr>
          <w:trHeight w:val="296"/>
        </w:trPr>
        <w:tc>
          <w:tcPr>
            <w:tcW w:w="3240" w:type="dxa"/>
          </w:tcPr>
          <w:p w14:paraId="23453817" w14:textId="25698F12" w:rsidR="004A5F28" w:rsidRDefault="004A5F28" w:rsidP="00CE67BD">
            <w:r>
              <w:t>Coyote Health</w:t>
            </w:r>
          </w:p>
        </w:tc>
        <w:tc>
          <w:tcPr>
            <w:tcW w:w="7015" w:type="dxa"/>
          </w:tcPr>
          <w:p w14:paraId="3185A266" w14:textId="21CC0486" w:rsidR="004A5F28" w:rsidRDefault="004A5F28" w:rsidP="00CE67BD">
            <w:r>
              <w:t xml:space="preserve">Healthy (strong, beautiful, </w:t>
            </w:r>
            <w:proofErr w:type="gramStart"/>
            <w:r>
              <w:t>healthy</w:t>
            </w:r>
            <w:proofErr w:type="gramEnd"/>
            <w:r>
              <w:t xml:space="preserve"> or majestic)</w:t>
            </w:r>
          </w:p>
        </w:tc>
      </w:tr>
      <w:tr w:rsidR="004A5F28" w14:paraId="7629C1A4" w14:textId="77777777" w:rsidTr="004A5F28">
        <w:trPr>
          <w:trHeight w:val="296"/>
        </w:trPr>
        <w:tc>
          <w:tcPr>
            <w:tcW w:w="3240" w:type="dxa"/>
          </w:tcPr>
          <w:p w14:paraId="60BBDC38" w14:textId="77777777" w:rsidR="004A5F28" w:rsidRDefault="004A5F28" w:rsidP="00CE67BD"/>
        </w:tc>
        <w:tc>
          <w:tcPr>
            <w:tcW w:w="7015" w:type="dxa"/>
          </w:tcPr>
          <w:p w14:paraId="21FC374C" w14:textId="6CFF9E6B" w:rsidR="004A5F28" w:rsidRDefault="004A5F28" w:rsidP="00CE67BD">
            <w:r>
              <w:t xml:space="preserve">Unhealthy (injured, limping, hurt, unhealthy, mangy, </w:t>
            </w:r>
            <w:proofErr w:type="gramStart"/>
            <w:r>
              <w:t>scruffy</w:t>
            </w:r>
            <w:proofErr w:type="gramEnd"/>
            <w:r>
              <w:t xml:space="preserve"> or wounded)</w:t>
            </w:r>
          </w:p>
        </w:tc>
      </w:tr>
    </w:tbl>
    <w:p w14:paraId="7DDAF28A" w14:textId="2064E9F4" w:rsidR="00CA2615" w:rsidRDefault="00CA2615"/>
    <w:p w14:paraId="5A70001E" w14:textId="15C16DDF" w:rsidR="00D14D3A" w:rsidRDefault="00D14D3A"/>
    <w:p w14:paraId="38A0B7DD" w14:textId="76307801" w:rsidR="00D14D3A" w:rsidRDefault="00D14D3A">
      <w:r>
        <w:t xml:space="preserve">Appendix 1. Patterns in </w:t>
      </w:r>
      <w:r w:rsidR="004771A6">
        <w:t xml:space="preserve">Coyote </w:t>
      </w:r>
      <w:r>
        <w:t>Reports</w:t>
      </w:r>
    </w:p>
    <w:p w14:paraId="3035232C" w14:textId="5D1ABBCC" w:rsidR="0000204E" w:rsidRPr="00E36A85" w:rsidRDefault="0000204E" w:rsidP="0000204E">
      <w:pPr>
        <w:spacing w:line="480" w:lineRule="auto"/>
        <w:ind w:firstLine="720"/>
        <w:rPr>
          <w:rFonts w:ascii="Times New Roman" w:hAnsi="Times New Roman" w:cs="Times New Roman"/>
        </w:rPr>
      </w:pPr>
      <w:commentRangeStart w:id="0"/>
      <w:r w:rsidRPr="00E36A85">
        <w:rPr>
          <w:rFonts w:ascii="Times New Roman" w:hAnsi="Times New Roman" w:cs="Times New Roman"/>
        </w:rPr>
        <w:t xml:space="preserve">We mapped the point location of each coyote report using ArcGIS Pro v2.7 (Figure </w:t>
      </w:r>
      <w:r>
        <w:rPr>
          <w:rFonts w:ascii="Times New Roman" w:hAnsi="Times New Roman" w:cs="Times New Roman"/>
        </w:rPr>
        <w:t>2</w:t>
      </w:r>
      <w:r w:rsidRPr="00E36A85">
        <w:rPr>
          <w:rFonts w:ascii="Times New Roman" w:hAnsi="Times New Roman" w:cs="Times New Roman"/>
        </w:rPr>
        <w:t xml:space="preserve">). </w:t>
      </w:r>
      <w:commentRangeEnd w:id="0"/>
      <w:r>
        <w:rPr>
          <w:rStyle w:val="CommentReference"/>
        </w:rPr>
        <w:commentReference w:id="0"/>
      </w:r>
      <w:r>
        <w:rPr>
          <w:rFonts w:ascii="Times New Roman" w:hAnsi="Times New Roman" w:cs="Times New Roman"/>
        </w:rPr>
        <w:t>We also used the Kernel Density tool to visualize reporting density across Edmonton classified into 10 equal-interval bins. To</w:t>
      </w:r>
      <w:r w:rsidRPr="00E36A85">
        <w:rPr>
          <w:rFonts w:ascii="Times New Roman" w:hAnsi="Times New Roman" w:cs="Times New Roman"/>
        </w:rPr>
        <w:t xml:space="preserve"> assess the distribution of reports across land cover classes</w:t>
      </w:r>
      <w:r>
        <w:rPr>
          <w:rFonts w:ascii="Times New Roman" w:hAnsi="Times New Roman" w:cs="Times New Roman"/>
        </w:rPr>
        <w:t xml:space="preserve"> we  </w:t>
      </w:r>
      <w:r w:rsidRPr="00E36A85">
        <w:rPr>
          <w:rFonts w:ascii="Times New Roman" w:hAnsi="Times New Roman" w:cs="Times New Roman"/>
        </w:rPr>
        <w:t>us</w:t>
      </w:r>
      <w:r>
        <w:rPr>
          <w:rFonts w:ascii="Times New Roman" w:hAnsi="Times New Roman" w:cs="Times New Roman"/>
        </w:rPr>
        <w:t>ed</w:t>
      </w:r>
      <w:r w:rsidRPr="00E36A85">
        <w:rPr>
          <w:rFonts w:ascii="Times New Roman" w:hAnsi="Times New Roman" w:cs="Times New Roman"/>
        </w:rPr>
        <w:t xml:space="preserve"> geospatial data from the City of Edmonton Urban Planning Land and Vegetation Inventory (</w:t>
      </w:r>
      <w:proofErr w:type="spellStart"/>
      <w:r w:rsidRPr="00E36A85">
        <w:rPr>
          <w:rFonts w:ascii="Times New Roman" w:hAnsi="Times New Roman" w:cs="Times New Roman"/>
        </w:rPr>
        <w:t>uPLVI</w:t>
      </w:r>
      <w:proofErr w:type="spellEnd"/>
      <w:r w:rsidRPr="00E36A85">
        <w:rPr>
          <w:rFonts w:ascii="Times New Roman" w:hAnsi="Times New Roman" w:cs="Times New Roman"/>
        </w:rPr>
        <w:t xml:space="preserve">) database, a high resolution (minimum polygon size = 1 ha) database that uses remotely sensed imagery and Softcopy photogrammetry to identify land cover types for urban land use decisions </w:t>
      </w:r>
      <w:r w:rsidRPr="00E36A85">
        <w:rPr>
          <w:rFonts w:ascii="Times New Roman" w:hAnsi="Times New Roman" w:cs="Times New Roman"/>
        </w:rPr>
        <w:fldChar w:fldCharType="begin"/>
      </w:r>
      <w:r w:rsidRPr="00E36A85">
        <w:rPr>
          <w:rFonts w:ascii="Times New Roman" w:hAnsi="Times New Roman" w:cs="Times New Roman"/>
        </w:rPr>
        <w:instrText xml:space="preserve"> ADDIN EN.CITE &lt;EndNote&gt;&lt;Cite&gt;&lt;Author&gt;City of Edmonton&lt;/Author&gt;&lt;Year&gt;2018&lt;/Year&gt;&lt;IDText&gt;Urban Primary Land and Vegetation Inventory (uPLVI). Spatial Data. Draft 2018 Edition. Prepared for: Urban Analysis, City Planning, the City of Edmonton, Alberta. Prepared by: Greenlink Forestry Inc. Edmonton Alberta&lt;/IDText&gt;&lt;DisplayText&gt;(City of Edmonton 2018)&lt;/DisplayText&gt;&lt;record&gt;&lt;titles&gt;&lt;title&gt;Urban Primary Land and Vegetation Inventory (uPLVI). Spatial Data. Draft 2018 Edition. Prepared for: Urban Analysis, City Planning, the City of Edmonton, Alberta. Prepared by: Greenlink Forestry Inc. Edmonton Alberta&lt;/title&gt;&lt;/titles&gt;&lt;contributors&gt;&lt;authors&gt;&lt;author&gt;City of Edmonton,&lt;/author&gt;&lt;/authors&gt;&lt;/contributors&gt;&lt;added-date format="utc"&gt;1616518544&lt;/added-date&gt;&lt;ref-type name="Generic"&gt;13&lt;/ref-type&gt;&lt;dates&gt;&lt;year&gt;2018&lt;/year&gt;&lt;/dates&gt;&lt;rec-number&gt;650&lt;/rec-number&gt;&lt;last-updated-date format="utc"&gt;1616518737&lt;/last-updated-date&gt;&lt;/record&gt;&lt;/Cite&gt;&lt;/EndNote&gt;</w:instrText>
      </w:r>
      <w:r w:rsidRPr="00E36A85">
        <w:rPr>
          <w:rFonts w:ascii="Times New Roman" w:hAnsi="Times New Roman" w:cs="Times New Roman"/>
        </w:rPr>
        <w:fldChar w:fldCharType="separate"/>
      </w:r>
      <w:r w:rsidRPr="00E36A85">
        <w:rPr>
          <w:rFonts w:ascii="Times New Roman" w:hAnsi="Times New Roman" w:cs="Times New Roman"/>
          <w:noProof/>
        </w:rPr>
        <w:t>(City of Edmonton 2018)</w:t>
      </w:r>
      <w:r w:rsidRPr="00E36A85">
        <w:rPr>
          <w:rFonts w:ascii="Times New Roman" w:hAnsi="Times New Roman" w:cs="Times New Roman"/>
        </w:rPr>
        <w:fldChar w:fldCharType="end"/>
      </w:r>
      <w:r w:rsidRPr="00E36A85">
        <w:rPr>
          <w:rFonts w:ascii="Times New Roman" w:hAnsi="Times New Roman" w:cs="Times New Roman"/>
        </w:rPr>
        <w:t xml:space="preserve">. We </w:t>
      </w:r>
      <w:r>
        <w:rPr>
          <w:rFonts w:ascii="Times New Roman" w:hAnsi="Times New Roman" w:cs="Times New Roman"/>
        </w:rPr>
        <w:t>categorized land cover into</w:t>
      </w:r>
      <w:r w:rsidRPr="00E36A85">
        <w:rPr>
          <w:rFonts w:ascii="Times New Roman" w:hAnsi="Times New Roman" w:cs="Times New Roman"/>
        </w:rPr>
        <w:t xml:space="preserve"> six land cover classes representing various degrees of human development and coyote habitat suitability (Figure </w:t>
      </w:r>
      <w:r>
        <w:rPr>
          <w:rFonts w:ascii="Times New Roman" w:hAnsi="Times New Roman" w:cs="Times New Roman"/>
        </w:rPr>
        <w:t>S1</w:t>
      </w:r>
      <w:r w:rsidRPr="00E36A85">
        <w:rPr>
          <w:rFonts w:ascii="Times New Roman" w:hAnsi="Times New Roman" w:cs="Times New Roman"/>
        </w:rPr>
        <w:t xml:space="preserve">; Table </w:t>
      </w:r>
      <w:r>
        <w:rPr>
          <w:rFonts w:ascii="Times New Roman" w:hAnsi="Times New Roman" w:cs="Times New Roman"/>
        </w:rPr>
        <w:t>S</w:t>
      </w:r>
      <w:r w:rsidRPr="00E36A85">
        <w:rPr>
          <w:rFonts w:ascii="Times New Roman" w:hAnsi="Times New Roman" w:cs="Times New Roman"/>
        </w:rPr>
        <w:t xml:space="preserve">1). </w:t>
      </w:r>
      <w:r w:rsidR="00A229A2">
        <w:rPr>
          <w:rFonts w:ascii="Times New Roman" w:hAnsi="Times New Roman" w:cs="Times New Roman"/>
        </w:rPr>
        <w:t>We determined the number of</w:t>
      </w:r>
      <w:r w:rsidRPr="00E36A85">
        <w:rPr>
          <w:rFonts w:ascii="Times New Roman" w:hAnsi="Times New Roman" w:cs="Times New Roman"/>
        </w:rPr>
        <w:t xml:space="preserve"> reports within each land cover class and used </w:t>
      </w:r>
      <w:r>
        <w:rPr>
          <w:rFonts w:ascii="Times New Roman" w:hAnsi="Times New Roman" w:cs="Times New Roman"/>
        </w:rPr>
        <w:t xml:space="preserve">a </w:t>
      </w:r>
      <w:r w:rsidRPr="00E36A85">
        <w:rPr>
          <w:rFonts w:ascii="Times New Roman" w:hAnsi="Times New Roman" w:cs="Times New Roman"/>
        </w:rPr>
        <w:t>chi-square goodness of fit test to compare the observed count of reports to the expected count</w:t>
      </w:r>
      <w:r>
        <w:rPr>
          <w:rFonts w:ascii="Times New Roman" w:hAnsi="Times New Roman" w:cs="Times New Roman"/>
        </w:rPr>
        <w:t xml:space="preserve">, </w:t>
      </w:r>
      <w:r w:rsidRPr="00E36A85">
        <w:rPr>
          <w:rFonts w:ascii="Times New Roman" w:hAnsi="Times New Roman" w:cs="Times New Roman"/>
        </w:rPr>
        <w:t xml:space="preserve">which we calculated by multiplying the total number of reports by the proportion of each land cover class in the study area </w:t>
      </w:r>
      <w:r w:rsidRPr="00E36A85">
        <w:rPr>
          <w:rFonts w:ascii="Times New Roman" w:hAnsi="Times New Roman" w:cs="Times New Roman"/>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Myk8L0Rpc3BsYXlUZXh0PjxyZWNvcmQ+PGRhdGVzPjxwdWItZGF0ZXM+PGRhdGU+RmViPC9kYXRl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</w:fldData>
        </w:fldChar>
      </w:r>
      <w:r w:rsidRPr="00E36A85">
        <w:rPr>
          <w:rFonts w:ascii="Times New Roman" w:hAnsi="Times New Roman" w:cs="Times New Roman"/>
        </w:rPr>
        <w:instrText xml:space="preserve"> ADDIN EN.CITE </w:instrText>
      </w:r>
      <w:r w:rsidRPr="00E36A85">
        <w:rPr>
          <w:rFonts w:ascii="Times New Roman" w:hAnsi="Times New Roman" w:cs="Times New Roman"/>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Myk8L0Rpc3BsYXlUZXh0PjxyZWNvcmQ+PGRhdGVzPjxwdWItZGF0ZXM+PGRhdGU+RmViPC9kYXRl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</w:fldData>
        </w:fldChar>
      </w:r>
      <w:r w:rsidRPr="00E36A85">
        <w:rPr>
          <w:rFonts w:ascii="Times New Roman" w:hAnsi="Times New Roman" w:cs="Times New Roman"/>
        </w:rPr>
        <w:instrText xml:space="preserve"> ADDIN EN.CITE.DATA </w:instrText>
      </w:r>
      <w:r w:rsidRPr="00E36A85">
        <w:rPr>
          <w:rFonts w:ascii="Times New Roman" w:hAnsi="Times New Roman" w:cs="Times New Roman"/>
        </w:rPr>
      </w:r>
      <w:r w:rsidRPr="00E36A85">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Pr="00E36A85">
        <w:rPr>
          <w:rFonts w:ascii="Times New Roman" w:hAnsi="Times New Roman" w:cs="Times New Roman"/>
          <w:noProof/>
        </w:rPr>
        <w:t>(Poessel et al. 2013)</w:t>
      </w:r>
      <w:r w:rsidRPr="00E36A85">
        <w:rPr>
          <w:rFonts w:ascii="Times New Roman" w:hAnsi="Times New Roman" w:cs="Times New Roman"/>
        </w:rPr>
        <w:fldChar w:fldCharType="end"/>
      </w:r>
      <w:r w:rsidRPr="00E36A85">
        <w:rPr>
          <w:rFonts w:ascii="Times New Roman" w:hAnsi="Times New Roman" w:cs="Times New Roman"/>
        </w:rPr>
        <w:t xml:space="preserve">. </w:t>
      </w:r>
      <w:r>
        <w:rPr>
          <w:rFonts w:ascii="Times New Roman" w:hAnsi="Times New Roman" w:cs="Times New Roman"/>
        </w:rPr>
        <w:t xml:space="preserve">We used pairwise comparisons to determine which land cover classes differed from expected values, and adjusted P values for multiple comparisons using a Bonferroni correction </w:t>
      </w:r>
      <w:r>
        <w:rPr>
          <w:rFonts w:ascii="Times New Roman" w:hAnsi="Times New Roman" w:cs="Times New Roman"/>
        </w:rPr>
        <w:fldChar w:fldCharType="begin"/>
      </w:r>
      <w:r>
        <w:rPr>
          <w:rFonts w:ascii="Times New Roman" w:hAnsi="Times New Roman" w:cs="Times New Roman"/>
        </w:rPr>
        <w:instrText xml:space="preserve"> ADDIN EN.CITE &lt;EndNote&gt;&lt;Cite&gt;&lt;Author&gt;Jafari&lt;/Author&gt;&lt;Year&gt;2019&lt;/Year&gt;&lt;IDText&gt;Why, When and How to Adjust Your P Values?&lt;/IDText&gt;&lt;DisplayText&gt;(Jafari &amp;amp; Ansari-Pour 2019)&lt;/DisplayText&gt;&lt;record&gt;&lt;dates&gt;&lt;pub-dates&gt;&lt;date&gt;Win&lt;/date&gt;&lt;/pub-dates&gt;&lt;year&gt;2019&lt;/year&gt;&lt;/dates&gt;&lt;keywords&gt;&lt;keyword&gt;Bias&lt;/keyword&gt;&lt;keyword&gt;Gene Expression Profiling&lt;/keyword&gt;&lt;keyword&gt;Genetic Variation&lt;/keyword&gt;&lt;keyword&gt;Research Design&lt;/keyword&gt;&lt;keyword&gt;&lt;/keyword&gt;&lt;keyword&gt;Statistical Data Analyses&lt;/keyword&gt;&lt;keyword&gt;Cell Biology&lt;/keyword&gt;&lt;/keywords&gt;&lt;urls&gt;&lt;related-urls&gt;&lt;url&gt;&amp;lt;Go to ISI&amp;gt;://WOS:000442109800021&lt;/url&gt;&lt;/related-urls&gt;&lt;/urls&gt;&lt;isbn&gt;2228-5806&lt;/isbn&gt;&lt;work-type&gt;Letter&lt;/work-type&gt;&lt;titles&gt;&lt;title&gt;Why, When and How to Adjust Your P Values?&lt;/title&gt;&lt;secondary-title&gt;Cell Journal&lt;/secondary-title&gt;&lt;alt-title&gt;Cell J.&lt;/alt-title&gt;&lt;/titles&gt;&lt;pages&gt;604-607&lt;/pages&gt;&lt;number&gt;4&lt;/number&gt;&lt;contributors&gt;&lt;authors&gt;&lt;author&gt;Jafari, M.&lt;/author&gt;&lt;author&gt;Ansari-Pour, N.&lt;/author&gt;&lt;/authors&gt;&lt;/contributors&gt;&lt;language&gt;English&lt;/language&gt;&lt;added-date format="utc"&gt;1623446549&lt;/added-date&gt;&lt;ref-type name="Journal Article"&gt;17&lt;/ref-type&gt;&lt;auth-address&gt;[Jafari, Mohieddin] Pasteur Inst Iran, Med Biotechnol Dept, Drug Design &amp;amp; Bioinformat Unit, Biotechnol Res Ctr, Tehran, Iran. [Ansari-Pour, Naser] Univ Tehran, Fac New Sci &amp;amp; Technol, POB 1439957131, Tehran, Iran.&amp;#xD;Ansari-Pour, N (corresponding author), Univ Tehran, Fac New Sci &amp;amp; Technol, POB 1439957131, Tehran, Iran.&amp;#xD;n.ansaripour@ut.ac.ir&lt;/auth-address&gt;&lt;rec-number&gt;873&lt;/rec-number&gt;&lt;last-updated-date format="utc"&gt;1623446549&lt;/last-updated-date&gt;&lt;accession-num&gt;WOS:000442109800021&lt;/accession-num&gt;&lt;electronic-resource-num&gt;10.22074/cellj.2019.5992&lt;/electronic-resource-num&gt;&lt;volume&gt;20&lt;/volume&gt;&lt;/record&gt;&lt;/Cite&gt;&lt;/EndNote&gt;</w:instrText>
      </w:r>
      <w:r>
        <w:rPr>
          <w:rFonts w:ascii="Times New Roman" w:hAnsi="Times New Roman" w:cs="Times New Roman"/>
        </w:rPr>
        <w:fldChar w:fldCharType="separate"/>
      </w:r>
      <w:r>
        <w:rPr>
          <w:rFonts w:ascii="Times New Roman" w:hAnsi="Times New Roman" w:cs="Times New Roman"/>
          <w:noProof/>
        </w:rPr>
        <w:t>(Jafari &amp; Ansari-Pour 2019)</w:t>
      </w:r>
      <w:r>
        <w:rPr>
          <w:rFonts w:ascii="Times New Roman" w:hAnsi="Times New Roman" w:cs="Times New Roman"/>
        </w:rPr>
        <w:fldChar w:fldCharType="end"/>
      </w:r>
      <w:r>
        <w:rPr>
          <w:rFonts w:ascii="Times New Roman" w:hAnsi="Times New Roman" w:cs="Times New Roman"/>
        </w:rPr>
        <w:t xml:space="preserve">. </w:t>
      </w:r>
    </w:p>
    <w:p w14:paraId="01932C93" w14:textId="77777777" w:rsidR="0000204E" w:rsidRPr="00E36A85" w:rsidRDefault="0000204E" w:rsidP="0000204E">
      <w:pPr>
        <w:spacing w:line="480" w:lineRule="auto"/>
        <w:ind w:firstLine="720"/>
        <w:rPr>
          <w:rFonts w:ascii="Times New Roman" w:hAnsi="Times New Roman" w:cs="Times New Roman"/>
        </w:rPr>
      </w:pPr>
      <w:r>
        <w:rPr>
          <w:rFonts w:ascii="Times New Roman" w:hAnsi="Times New Roman" w:cs="Times New Roman"/>
        </w:rPr>
        <w:t>To examine temporal characteristics of reports, w</w:t>
      </w:r>
      <w:r w:rsidRPr="00E36A85">
        <w:rPr>
          <w:rFonts w:ascii="Times New Roman" w:hAnsi="Times New Roman" w:cs="Times New Roman"/>
        </w:rPr>
        <w:t>e examined inter-annual, monthly and diel trends in reporting.</w:t>
      </w:r>
      <w:r>
        <w:rPr>
          <w:rFonts w:ascii="Times New Roman" w:hAnsi="Times New Roman" w:cs="Times New Roman"/>
        </w:rPr>
        <w:t xml:space="preserve"> We evaluated long-term changes in reporting by measuring</w:t>
      </w:r>
      <w:r w:rsidRPr="00E36A85">
        <w:rPr>
          <w:rFonts w:ascii="Times New Roman" w:hAnsi="Times New Roman" w:cs="Times New Roman"/>
        </w:rPr>
        <w:t xml:space="preserve"> the frequency of </w:t>
      </w:r>
      <w:r w:rsidRPr="00E36A85">
        <w:rPr>
          <w:rFonts w:ascii="Times New Roman" w:hAnsi="Times New Roman" w:cs="Times New Roman"/>
        </w:rPr>
        <w:lastRenderedPageBreak/>
        <w:t xml:space="preserve">reporting, in four-month intervals, from January 2011 to December 2020. We quantified monthly trends in reporting by calculating the mean annual reports for each month. To reflect the biological seasons of coyotes </w:t>
      </w:r>
      <w:r w:rsidRPr="00E36A85">
        <w:rPr>
          <w:rFonts w:ascii="Times New Roman" w:hAnsi="Times New Roman" w:cs="Times New Roman"/>
        </w:rPr>
        <w:fldChar w:fldCharType="begin"/>
      </w:r>
      <w:r w:rsidRPr="00E36A85">
        <w:rPr>
          <w:rFonts w:ascii="Times New Roman" w:hAnsi="Times New Roman" w:cs="Times New Roman"/>
        </w:rPr>
        <w:instrText xml:space="preserve"> ADDIN EN.CITE &lt;EndNote&gt;&lt;Cite&gt;&lt;Author&gt;Morey&lt;/Author&gt;&lt;Year&gt;2007&lt;/Year&gt;&lt;IDText&gt;Spatial and temporal variation in the diet of coyotes in the Chicago metropolitan area&lt;/IDText&gt;&lt;DisplayText&gt;(Morey et al. 2007)&lt;/DisplayText&gt;&lt;record&gt;&lt;dates&gt;&lt;pub-dates&gt;&lt;date&gt;Jul&lt;/date&gt;&lt;/pub-dates&gt;&lt;year&gt;2007&lt;/year&gt;&lt;/dates&gt;&lt;keywords&gt;&lt;keyword&gt;white-tailed deer&lt;/keyword&gt;&lt;keyword&gt;canis-latrans&lt;/keyword&gt;&lt;keyword&gt;national-park&lt;/keyword&gt;&lt;keyword&gt;food-habits&lt;/keyword&gt;&lt;keyword&gt;western&lt;/keyword&gt;&lt;keyword&gt;washington&lt;/keyword&gt;&lt;keyword&gt;urban-environment&lt;/keyword&gt;&lt;keyword&gt;feeding-habits&lt;/keyword&gt;&lt;keyword&gt;home-range&lt;/keyword&gt;&lt;keyword&gt;densities&lt;/keyword&gt;&lt;keyword&gt;&lt;/keyword&gt;&lt;keyword&gt;winter&lt;/keyword&gt;&lt;keyword&gt;Biodiversity &amp;amp; Conservation&lt;/keyword&gt;&lt;keyword&gt;Environmental Sciences &amp;amp; Ecology&lt;/keyword&gt;&lt;/keywords&gt;&lt;urls&gt;&lt;related-urls&gt;&lt;url&gt;&amp;lt;Go to ISI&amp;gt;://WOS:000248327800013&lt;/url&gt;&lt;/related-urls&gt;&lt;/urls&gt;&lt;isbn&gt;0003-0031&lt;/isbn&gt;&lt;work-type&gt;Article&lt;/work-type&gt;&lt;titles&gt;&lt;title&gt;Spatial and temporal variation in the diet of coyotes in the Chicago metropolitan area&lt;/title&gt;&lt;secondary-title&gt;American Midland Naturalist&lt;/secondary-title&gt;&lt;alt-title&gt;Am. Midl. Nat.&lt;/alt-title&gt;&lt;/titles&gt;&lt;pages&gt;147-161&lt;/pages&gt;&lt;number&gt;1&lt;/number&gt;&lt;contributors&gt;&lt;authors&gt;&lt;author&gt;Morey, P. S.&lt;/author&gt;&lt;author&gt;Gese, E. M.&lt;/author&gt;&lt;author&gt;Gehrt, S.&lt;/author&gt;&lt;/authors&gt;&lt;/contributors&gt;&lt;language&gt;English&lt;/language&gt;&lt;added-date format="utc"&gt;1615659787&lt;/added-date&gt;&lt;ref-type name="Journal Article"&gt;17&lt;/ref-type&gt;&lt;auth-address&gt;Utah State Univ, Dept Forest Range &amp;amp; Wildlife Sci, USDA, Wildlife Serv, Logan, UT 84322 USA. Ohio State Univ, Columbus, OH 43210 USA.&amp;#xD;Morey, PS (corresponding author), US Forest Serv, Dolores Publ Lands Off, POB 210, Dolores, CO 81323 USA.&amp;#xD;pmorey@fs.fed.us&lt;/auth-address&gt;&lt;rec-number&gt;634&lt;/rec-number&gt;&lt;last-updated-date format="utc"&gt;1615659787&lt;/last-updated-date&gt;&lt;accession-num&gt;WOS:000248327800013&lt;/accession-num&gt;&lt;electronic-resource-num&gt;10.1674/0003-0031(2007)158[147:satvit]2.0.co;2&lt;/electronic-resource-num&gt;&lt;volume&gt;158&lt;/volume&gt;&lt;/record&gt;&lt;/Cite&gt;&lt;/EndNote&gt;</w:instrText>
      </w:r>
      <w:r w:rsidRPr="00E36A85">
        <w:rPr>
          <w:rFonts w:ascii="Times New Roman" w:hAnsi="Times New Roman" w:cs="Times New Roman"/>
        </w:rPr>
        <w:fldChar w:fldCharType="separate"/>
      </w:r>
      <w:r w:rsidRPr="00E36A85">
        <w:rPr>
          <w:rFonts w:ascii="Times New Roman" w:hAnsi="Times New Roman" w:cs="Times New Roman"/>
          <w:noProof/>
        </w:rPr>
        <w:t>(Morey et al. 2007)</w:t>
      </w:r>
      <w:r w:rsidRPr="00E36A85">
        <w:rPr>
          <w:rFonts w:ascii="Times New Roman" w:hAnsi="Times New Roman" w:cs="Times New Roman"/>
        </w:rPr>
        <w:fldChar w:fldCharType="end"/>
      </w:r>
      <w:r w:rsidRPr="00E36A85">
        <w:rPr>
          <w:rFonts w:ascii="Times New Roman" w:hAnsi="Times New Roman" w:cs="Times New Roman"/>
        </w:rPr>
        <w:t xml:space="preserve">, we calculated the percentage of total reports that occurred during the breeding (January 1 – April 30), pup rearing (May 1 – August 31), and dispersal (September 1 – December 31) seasons. </w:t>
      </w:r>
    </w:p>
    <w:p w14:paraId="0621B1DD" w14:textId="77777777" w:rsidR="0000204E" w:rsidRPr="00E36A85" w:rsidRDefault="0000204E" w:rsidP="0000204E">
      <w:pPr>
        <w:spacing w:line="480" w:lineRule="auto"/>
        <w:ind w:firstLine="720"/>
        <w:rPr>
          <w:rFonts w:ascii="Times New Roman" w:hAnsi="Times New Roman" w:cs="Times New Roman"/>
        </w:rPr>
      </w:pPr>
      <w:r w:rsidRPr="00E36A85">
        <w:rPr>
          <w:rFonts w:ascii="Times New Roman" w:hAnsi="Times New Roman" w:cs="Times New Roman"/>
        </w:rPr>
        <w:t xml:space="preserve">Reporters submitted time of day using a drop-down menu with the option to select hourly times between 5 AM and midnight, or one of the following categories: dawn, morning, afternoon, evening or night. We manually categorized time of day into either day or night. Day included the categories of morning or afternoon, or any hourly time at least half an hour after sunrise and half an hour before sunset, which varies substantially across the year due to Edmonton’s northern latitude. Night included the categories night and dawn, or any times half an hour before sunrise or after sunset. We excluded 842 reports in which time was submitted as evening or without a selected time from all daily temporal analyses. We calculated the percentage of reports occurring at night or during the day. </w:t>
      </w:r>
    </w:p>
    <w:p w14:paraId="21A5619B" w14:textId="0DA83959" w:rsidR="0000204E" w:rsidRDefault="0000204E"/>
    <w:p w14:paraId="09ACBA8A" w14:textId="427D043E" w:rsidR="00534D96" w:rsidRDefault="00534D96"/>
    <w:p w14:paraId="51189CA2" w14:textId="4D0CD635" w:rsidR="00534D96" w:rsidRDefault="00534D96">
      <w:r>
        <w:t xml:space="preserve">Supplementary Table SX: </w:t>
      </w:r>
      <w:r w:rsidR="005229E0">
        <w:t>Outputs from</w:t>
      </w:r>
      <w:r w:rsidR="003846DE">
        <w:t xml:space="preserve"> Pearson’s</w:t>
      </w:r>
      <w:r w:rsidR="005229E0">
        <w:t xml:space="preserve"> chi square tests examining collinearity between </w:t>
      </w:r>
      <w:r w:rsidR="00452DFE">
        <w:t>categorical contextual variables</w:t>
      </w:r>
      <w:r w:rsidR="00237110">
        <w:t xml:space="preserve">. </w:t>
      </w:r>
    </w:p>
    <w:p w14:paraId="08AABB4B" w14:textId="77777777" w:rsidR="0085534E" w:rsidRDefault="0085534E"/>
    <w:sectPr w:rsidR="008553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Farr" w:date="2021-06-10T22:12:00Z" w:initials="JF">
    <w:p w14:paraId="55B11013" w14:textId="77777777" w:rsidR="0000204E" w:rsidRDefault="0000204E" w:rsidP="0000204E">
      <w:pPr>
        <w:pStyle w:val="CommentText"/>
      </w:pPr>
      <w:r>
        <w:rPr>
          <w:rStyle w:val="CommentReference"/>
        </w:rPr>
        <w:annotationRef/>
      </w:r>
      <w:r>
        <w:t xml:space="preserve">Discuss mapping with Colleen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11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0CB0" w16cex:dateUtc="2021-06-11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11013" w16cid:durableId="246D0C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CCB"/>
    <w:multiLevelType w:val="hybridMultilevel"/>
    <w:tmpl w:val="7E98347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0D7AA5"/>
    <w:multiLevelType w:val="hybridMultilevel"/>
    <w:tmpl w:val="CAA488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3E53D2"/>
    <w:multiLevelType w:val="hybridMultilevel"/>
    <w:tmpl w:val="5684794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AD" w15:userId="S::jfarr@ualberta.ca::6a782014-920c-417e-ae6c-11eecead6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B3"/>
    <w:rsid w:val="0000204E"/>
    <w:rsid w:val="00040C5F"/>
    <w:rsid w:val="000A096E"/>
    <w:rsid w:val="000D5113"/>
    <w:rsid w:val="000E2536"/>
    <w:rsid w:val="000E6B0D"/>
    <w:rsid w:val="000E7616"/>
    <w:rsid w:val="0010627D"/>
    <w:rsid w:val="00152B44"/>
    <w:rsid w:val="00183502"/>
    <w:rsid w:val="001B5492"/>
    <w:rsid w:val="001B5EAF"/>
    <w:rsid w:val="001C3410"/>
    <w:rsid w:val="001E3A29"/>
    <w:rsid w:val="001F41E5"/>
    <w:rsid w:val="001F511B"/>
    <w:rsid w:val="001F5F85"/>
    <w:rsid w:val="001F7A6B"/>
    <w:rsid w:val="0023679B"/>
    <w:rsid w:val="00237110"/>
    <w:rsid w:val="002514A8"/>
    <w:rsid w:val="002525F1"/>
    <w:rsid w:val="002A44B3"/>
    <w:rsid w:val="002D6768"/>
    <w:rsid w:val="00315F61"/>
    <w:rsid w:val="00331979"/>
    <w:rsid w:val="003731B3"/>
    <w:rsid w:val="003846DE"/>
    <w:rsid w:val="003849A4"/>
    <w:rsid w:val="003E3966"/>
    <w:rsid w:val="00405314"/>
    <w:rsid w:val="00410AF2"/>
    <w:rsid w:val="00452DFE"/>
    <w:rsid w:val="004727B5"/>
    <w:rsid w:val="004771A6"/>
    <w:rsid w:val="00487639"/>
    <w:rsid w:val="004A5A90"/>
    <w:rsid w:val="004A5F28"/>
    <w:rsid w:val="004C293D"/>
    <w:rsid w:val="004C2DE3"/>
    <w:rsid w:val="004D1453"/>
    <w:rsid w:val="004D7A38"/>
    <w:rsid w:val="004F28A7"/>
    <w:rsid w:val="00511668"/>
    <w:rsid w:val="005229E0"/>
    <w:rsid w:val="00532236"/>
    <w:rsid w:val="00534D96"/>
    <w:rsid w:val="00593E60"/>
    <w:rsid w:val="005D5236"/>
    <w:rsid w:val="00602A09"/>
    <w:rsid w:val="00615A20"/>
    <w:rsid w:val="00631427"/>
    <w:rsid w:val="00655DD0"/>
    <w:rsid w:val="00671B7A"/>
    <w:rsid w:val="00684D91"/>
    <w:rsid w:val="00684E05"/>
    <w:rsid w:val="00690328"/>
    <w:rsid w:val="00690AE1"/>
    <w:rsid w:val="00691415"/>
    <w:rsid w:val="006A2129"/>
    <w:rsid w:val="006A2AB3"/>
    <w:rsid w:val="006B0AB6"/>
    <w:rsid w:val="006C5975"/>
    <w:rsid w:val="006E4CA4"/>
    <w:rsid w:val="007217E8"/>
    <w:rsid w:val="0073225E"/>
    <w:rsid w:val="00746B5B"/>
    <w:rsid w:val="007A0F86"/>
    <w:rsid w:val="007A2CC2"/>
    <w:rsid w:val="007B565B"/>
    <w:rsid w:val="007B679C"/>
    <w:rsid w:val="007D1CC1"/>
    <w:rsid w:val="007E31A5"/>
    <w:rsid w:val="008169A7"/>
    <w:rsid w:val="00840232"/>
    <w:rsid w:val="00852A97"/>
    <w:rsid w:val="0085534E"/>
    <w:rsid w:val="008573DF"/>
    <w:rsid w:val="008728C8"/>
    <w:rsid w:val="008B5068"/>
    <w:rsid w:val="008B67CE"/>
    <w:rsid w:val="008D05F6"/>
    <w:rsid w:val="008D0680"/>
    <w:rsid w:val="008E378A"/>
    <w:rsid w:val="0094596F"/>
    <w:rsid w:val="009563ED"/>
    <w:rsid w:val="00956DCB"/>
    <w:rsid w:val="00994722"/>
    <w:rsid w:val="00A11FE0"/>
    <w:rsid w:val="00A20C41"/>
    <w:rsid w:val="00A229A2"/>
    <w:rsid w:val="00A67E42"/>
    <w:rsid w:val="00AA098F"/>
    <w:rsid w:val="00AB3737"/>
    <w:rsid w:val="00AB3C98"/>
    <w:rsid w:val="00AD6D59"/>
    <w:rsid w:val="00B00354"/>
    <w:rsid w:val="00B23C53"/>
    <w:rsid w:val="00B23F77"/>
    <w:rsid w:val="00B759B4"/>
    <w:rsid w:val="00BC697A"/>
    <w:rsid w:val="00BE21DB"/>
    <w:rsid w:val="00BF4AC1"/>
    <w:rsid w:val="00C14993"/>
    <w:rsid w:val="00C14B5E"/>
    <w:rsid w:val="00C154D7"/>
    <w:rsid w:val="00C5040B"/>
    <w:rsid w:val="00C64786"/>
    <w:rsid w:val="00C647CB"/>
    <w:rsid w:val="00C66EB2"/>
    <w:rsid w:val="00C95D65"/>
    <w:rsid w:val="00CA2615"/>
    <w:rsid w:val="00CA46D1"/>
    <w:rsid w:val="00CA65E8"/>
    <w:rsid w:val="00CE67BD"/>
    <w:rsid w:val="00D10081"/>
    <w:rsid w:val="00D14D3A"/>
    <w:rsid w:val="00D269CA"/>
    <w:rsid w:val="00D2723E"/>
    <w:rsid w:val="00D32F89"/>
    <w:rsid w:val="00D644BA"/>
    <w:rsid w:val="00DA4D04"/>
    <w:rsid w:val="00DB5138"/>
    <w:rsid w:val="00DB5E2D"/>
    <w:rsid w:val="00E15FE8"/>
    <w:rsid w:val="00E25113"/>
    <w:rsid w:val="00E320B9"/>
    <w:rsid w:val="00E34BD0"/>
    <w:rsid w:val="00E73672"/>
    <w:rsid w:val="00E7567E"/>
    <w:rsid w:val="00E90EF7"/>
    <w:rsid w:val="00EA7774"/>
    <w:rsid w:val="00EE4E34"/>
    <w:rsid w:val="00EE533B"/>
    <w:rsid w:val="00F11434"/>
    <w:rsid w:val="00F401C0"/>
    <w:rsid w:val="00F47BFF"/>
    <w:rsid w:val="00F65907"/>
    <w:rsid w:val="00F95740"/>
    <w:rsid w:val="00F96FC9"/>
    <w:rsid w:val="00FA55C8"/>
    <w:rsid w:val="00FC579F"/>
    <w:rsid w:val="00FD6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3392"/>
  <w15:chartTrackingRefBased/>
  <w15:docId w15:val="{634E12B5-2FFE-4026-8357-B76A8B4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CB"/>
    <w:pPr>
      <w:ind w:left="720"/>
      <w:contextualSpacing/>
    </w:pPr>
  </w:style>
  <w:style w:type="table" w:styleId="TableGrid">
    <w:name w:val="Table Grid"/>
    <w:basedOn w:val="TableNormal"/>
    <w:uiPriority w:val="39"/>
    <w:rsid w:val="00F6590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204E"/>
    <w:rPr>
      <w:sz w:val="16"/>
      <w:szCs w:val="16"/>
    </w:rPr>
  </w:style>
  <w:style w:type="paragraph" w:styleId="CommentText">
    <w:name w:val="annotation text"/>
    <w:basedOn w:val="Normal"/>
    <w:link w:val="CommentTextChar"/>
    <w:uiPriority w:val="99"/>
    <w:unhideWhenUsed/>
    <w:rsid w:val="0000204E"/>
    <w:pPr>
      <w:spacing w:after="0" w:line="240" w:lineRule="auto"/>
    </w:pPr>
    <w:rPr>
      <w:sz w:val="20"/>
      <w:szCs w:val="20"/>
      <w:lang w:val="en-US"/>
    </w:rPr>
  </w:style>
  <w:style w:type="character" w:customStyle="1" w:styleId="CommentTextChar">
    <w:name w:val="Comment Text Char"/>
    <w:basedOn w:val="DefaultParagraphFont"/>
    <w:link w:val="CommentText"/>
    <w:uiPriority w:val="99"/>
    <w:rsid w:val="0000204E"/>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omments" Target="comments.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16960</TotalTime>
  <Pages>1</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141</cp:revision>
  <dcterms:created xsi:type="dcterms:W3CDTF">2022-02-07T20:23:00Z</dcterms:created>
  <dcterms:modified xsi:type="dcterms:W3CDTF">2022-03-01T05:31:00Z</dcterms:modified>
</cp:coreProperties>
</file>