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="http://schemas.openxmlformats.org/officeDocument/2006/math" xmlns:w="http://schemas.openxmlformats.org/wordprocessingml/2006/main" xmlns:r="http://schemas.openxmlformats.org/officeDocument/2006/relationships" xmlns:mc="http://schemas.openxmlformats.org/markup-compatibility/2006">
  <w:body>
    <w:p>
      <w:r>
        <w:rPr>
          <w:b/>
        </w:rPr>
        <w:t xml:space="preserve">TEST MATHACTIF — Équations S3-S6 FWB</w:t>
      </w:r>
    </w:p>
    <w:p>
      <w:r>
        <w:t xml:space="preserve">Ce fichier vérifie la lecture des équations Word (OMML) par MathActif.</w:t>
      </w:r>
    </w:p>
    <w:p>
      <w:pPr>
        <w:pStyle w:val="Heading2"/>
      </w:pPr>
      <w:r>
        <w:rPr>
          <w:b/>
        </w:rPr>
        <w:t>1. Trinôme du second degré</w:t>
      </w:r>
    </w:p>
    <w:p>
      <w:r>
        <w:t xml:space="preserve">Forme générale :</w:t>
      </w:r>
    </w:p>
    <m:oMathPara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+bx+c=0</m:t>
        </m:r>
      </m:oMath>
    </m:oMathPara>
    <w:p>
      <w:r>
        <w:t xml:space="preserve">Formule des racines :</w:t>
      </w:r>
    </w:p>
    <m:oMathPara>
      <m:oMath>
        <m:r>
          <m:t xml:space="preserve">x=</m:t>
        </m:r>
        <m:f>
          <m:num>
            <m:r>
              <m:t xml:space="preserve">-b±</m:t>
            </m:r>
            <m:rad>
              <m:radPr>
                <m:degHide m:val="1"/>
              </m:radPr>
              <m:deg/>
              <m:e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-4ac</m:t>
                </m:r>
              </m:e>
            </m:rad>
          </m:num>
          <m:den>
            <m:r>
              <m:t xml:space="preserve">2a</m:t>
            </m:r>
          </m:den>
        </m:f>
      </m:oMath>
    </m:oMathPara>
    <w:p>
      <w:r>
        <w:t xml:space="preserve">Discriminant :</w:t>
      </w:r>
    </w:p>
    <m:oMathPara>
      <m:oMath>
        <m:r>
          <m:t xml:space="preserve">Δ=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-4ac</m:t>
        </m:r>
      </m:oMath>
    </m:oMathPara>
    <w:p>
      <w:pPr>
        <w:pStyle w:val="Heading2"/>
      </w:pPr>
      <w:r>
        <w:rPr>
          <w:b/>
        </w:rPr>
        <w:t>2. Analyse</w:t>
      </w:r>
    </w:p>
    <w:p>
      <w:r>
        <w:t xml:space="preserve">Dérivée d'un polynôme :</w:t>
      </w:r>
    </w:p>
    <m:oMathPara>
      <m:oMath>
        <m:r>
          <m:t xml:space="preserve">f'(x)=3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-2x+1</m:t>
        </m:r>
      </m:oMath>
    </m:oMathPara>
    <w:p>
      <w:pPr>
        <w:pStyle w:val="Heading2"/>
      </w:pPr>
      <w:r>
        <w:rPr>
          <w:b/>
        </w:rPr>
        <w:t>3. Trigonométrie</w:t>
      </w:r>
    </w:p>
    <w:p>
      <w:r>
        <w:t xml:space="preserve">Identité fondamentale :</w:t>
      </w:r>
    </w:p>
    <m:oMathPara>
      <m:oMath>
        <m:sSup>
          <m:e>
            <m:r>
              <m:t xml:space="preserve">sin</m:t>
            </m:r>
          </m:e>
          <m:sup>
            <m:r>
              <m:t xml:space="preserve">2</m:t>
            </m:r>
          </m:sup>
        </m:sSup>
        <m:r>
          <m:t xml:space="preserve">(x)+</m:t>
        </m:r>
        <m:sSup>
          <m:e>
            <m:r>
              <m:t xml:space="preserve">cos</m:t>
            </m:r>
          </m:e>
          <m:sup>
            <m:r>
              <m:t xml:space="preserve">2</m:t>
            </m:r>
          </m:sup>
        </m:sSup>
        <m:r>
          <m:t xml:space="preserve">(x)=1</m:t>
        </m:r>
      </m:oMath>
    </m:oMathPara>
    <w:p>
      <w:pPr>
        <w:pStyle w:val="Heading2"/>
      </w:pPr>
      <w:r>
        <w:rPr>
          <w:b/>
        </w:rPr>
        <w:t>4. Logarithmes</w:t>
      </w:r>
    </w:p>
    <w:p>
      <w:r>
        <w:t xml:space="preserve">Propriété du produit :</w:t>
      </w:r>
    </w:p>
    <m:oMathPara>
      <m:oMath>
        <m:sSub>
          <m:e>
            <m:r>
              <m:t xml:space="preserve">log</m:t>
            </m:r>
          </m:e>
          <m:sub>
            <m:r>
              <m:t xml:space="preserve">a</m:t>
            </m:r>
          </m:sub>
        </m:sSub>
        <m:r>
          <m:t xml:space="preserve">(xy)=</m:t>
        </m:r>
        <m:sSub>
          <m:e>
            <m:r>
              <m:t xml:space="preserve">log</m:t>
            </m:r>
          </m:e>
          <m:sub>
            <m:r>
              <m:t xml:space="preserve">a</m:t>
            </m:r>
          </m:sub>
        </m:sSub>
        <m:r>
          <m:t xml:space="preserve">(x)+</m:t>
        </m:r>
        <m:sSub>
          <m:e>
            <m:r>
              <m:t xml:space="preserve">log</m:t>
            </m:r>
          </m:e>
          <m:sub>
            <m:r>
              <m:t xml:space="preserve">a</m:t>
            </m:r>
          </m:sub>
        </m:sSub>
        <m:r>
          <m:t xml:space="preserve">(y)</m:t>
        </m:r>
      </m:oMath>
    </m:oMathPara>
    <w:p>
      <w:pPr>
        <w:pStyle w:val="Heading2"/>
      </w:pPr>
      <w:r>
        <w:rPr>
          <w:b/>
        </w:rPr>
        <w:t>5. Exercices types</w:t>
      </w:r>
    </w:p>
    <w:p>
      <w:r>
        <w:t xml:space="preserve">Résoudre dans R :</w:t>
      </w:r>
    </w:p>
    <m:oMathPara>
      <m:oMath>
        <m:f>
          <m:num>
            <m:r>
              <m:t xml:space="preserve">2x+1</m:t>
            </m:r>
          </m:num>
          <m:den>
            <m:r>
              <m:t xml:space="preserve">x-3</m:t>
            </m:r>
          </m:den>
        </m:f>
        <m:r>
          <m:t xml:space="preserve">=5</m:t>
        </m:r>
      </m:oMath>
    </m:oMathPara>
    <w:p>
      <w:r>
        <w:t xml:space="preserve">Théorème de Pythagore :</w:t>
      </w:r>
    </w:p>
    <m:oMathPara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</m:oMathPara>
    <w:p>
      <w:r>
        <w:t xml:space="preserve">Résoudre :</w:t>
      </w:r>
    </w:p>
    <m:oMathPara>
      <m:oMath>
        <m:rad>
          <m:radPr>
            <m:degHide m:val="1"/>
          </m:radPr>
          <m:deg/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+4</m:t>
            </m:r>
          </m:e>
        </m:rad>
        <m:r>
          <m:t xml:space="preserve">=x+2</m:t>
        </m:r>
      </m:oMath>
    </m:oMathPara>
    <w:p>
      <w:r>
        <w:t xml:space="preserve">Identité remarquable :</w:t>
      </w:r>
    </w:p>
    <m:oMathPara>
      <m:oMath>
        <m:sSup>
          <m:e>
            <m:r>
              <m:t xml:space="preserve">(x+1)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+2x+1</m:t>
        </m:r>
      </m:oMath>
    </m:oMathPara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2">
    <w:name w:val="heading 2"/>
    <w:basedOn w:val="Normal"/>
    <w:next w:val="Normal"/>
    <w:pPr>
      <w:outlineLvl w:val="1"/>
    </w:pPr>
    <w:rPr>
      <w:b/>
      <w:color w:val="0a9370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