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A9370"/>
          <w:sz w:val="36"/>
          <w:szCs w:val="36"/>
        </w:rPr>
        <w:t xml:space="preserve">Colorisation PLAI</w:t>
      </w:r>
      <w:r>
        <w:rPr>
          <w:b/>
          <w:bCs/>
          <w:sz w:val="36"/>
          <w:szCs w:val="36"/>
        </w:rPr>
        <w:t xml:space="preserve"> pour OnlyOffice — Pourquoi ?</w:t>
      </w:r>
    </w:p>
    <w:p>
      <w:pPr>
        <w:pBdr>
          <w:bottom w:val="single" w:color="0A9370" w:sz="6" w:space="8"/>
        </w:pBdr>
        <w:spacing w:after="200"/>
        <w:jc w:val="center"/>
      </w:pPr>
      <w:r>
        <w:rPr>
          <w:color w:val="666666"/>
          <w:sz w:val="18"/>
          <w:szCs w:val="18"/>
        </w:rPr>
        <w:t xml:space="preserve">PÔLE LIÉGEOIS D'ACCOMPAGNEMENT VERS UNE ÉCOLE INCLUSIVE</w:t>
      </w:r>
    </w:p>
    <w:p>
      <w:pPr>
        <w:pStyle w:val="Heading1"/>
      </w:pPr>
      <w:r>
        <w:t xml:space="preserve">1. Un outil scientifiquement fondé</w:t>
      </w:r>
    </w:p>
    <w:p>
      <w:pPr>
        <w:spacing w:after="100"/>
      </w:pPr>
      <w:r>
        <w:t xml:space="preserve">Le plugin </w:t>
      </w:r>
      <w:r>
        <w:rPr>
          <w:b/>
          <w:bCs/>
        </w:rPr>
        <w:t xml:space="preserve">Colorisation PLAI</w:t>
      </w:r>
      <w:r>
        <w:t xml:space="preserve"> colorise les phonèmes, les syllabes et propose des aides visuelles à la lecture pour les élèves présentant des difficultés d'apprentissage (dyslexie, etc.). Basé sur </w:t>
      </w:r>
      <w:r>
        <w:rPr>
          <w:i/>
          <w:iCs/>
        </w:rPr>
        <w:t xml:space="preserve">Colorization.ch</w:t>
      </w:r>
      <w:r>
        <w:t xml:space="preserve"> de Pierre-Alain Etique (GPL-3.0).</w:t>
      </w:r>
    </w:p>
    <w:p>
      <w:pPr>
        <w:spacing w:after="100"/>
      </w:pPr>
      <w:r>
        <w:t xml:space="preserve">La littérature scientifique francophone confirme l'intérêt de ces adaptations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Chenouna (2021)</w:t>
      </w:r>
      <w:r>
        <w:t xml:space="preserve"> — la colorisation syllabique et vocalique améliore la vitesse et la précision de lecture chez les élèves dyslexiques.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Roullet, Auzimour, Cavalli &amp; Gomez (2025)</w:t>
      </w:r>
      <w:r>
        <w:t xml:space="preserve"> — les adaptations graphiques individualisées (colorisation, contraste entre lignes) améliorent l'accessibilité.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Krupa, Bard &amp; Hamon (2023)</w:t>
      </w:r>
      <w:r>
        <w:t xml:space="preserve"> — interface FROG : les élèves apprécient la colorisation des syllabes et le surlignage alterné des lignes.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Lassault &amp; Ziegler (2018)</w:t>
      </w:r>
      <w:r>
        <w:t xml:space="preserve"> — revue des outils numériques d'aide à la lecture.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Gala et al. (2020)</w:t>
      </w:r>
      <w:r>
        <w:t xml:space="preserve"> — recommandations : espacement, interligne et couleur améliorent la lisibilité.</w:t>
      </w:r>
    </w:p>
    <w:p>
      <w:pPr>
        <w:pStyle w:val="Heading1"/>
      </w:pPr>
      <w:r>
        <w:t xml:space="preserve">2. Adapté à la phonologie belge</w:t>
      </w:r>
    </w:p>
    <w:p>
      <w:pPr>
        <w:spacing w:after="100"/>
      </w:pPr>
      <w:r>
        <w:t xml:space="preserve">En Belgique francophone, « </w:t>
      </w:r>
      <w:r>
        <w:rPr>
          <w:b/>
          <w:bCs/>
        </w:rPr>
        <w:t xml:space="preserve">o</w:t>
      </w:r>
      <w:r>
        <w:t xml:space="preserve"> » ne se prononce pas comme « </w:t>
      </w:r>
      <w:r>
        <w:rPr>
          <w:b/>
          <w:bCs/>
        </w:rPr>
        <w:t xml:space="preserve">eau</w:t>
      </w:r>
      <w:r>
        <w:t xml:space="preserve"> » ou « </w:t>
      </w:r>
      <w:r>
        <w:rPr>
          <w:b/>
          <w:bCs/>
        </w:rPr>
        <w:t xml:space="preserve">au</w:t>
      </w:r>
      <w:r>
        <w:t xml:space="preserve"> » (distinction absente en France standard).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Phonologie belge </w:t>
      </w:r>
      <w:r>
        <w:rPr>
          <w:b/>
          <w:bCs/>
        </w:rPr>
        <w:t xml:space="preserve">native</w:t>
      </w:r>
      <w:r>
        <w:t xml:space="preserve"> grâce au système de « graphèmes liés 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graphème peut être </w:t>
      </w:r>
      <w:r>
        <w:rPr>
          <w:b/>
          <w:bCs/>
        </w:rPr>
        <w:t xml:space="preserve">activé/désactivé</w:t>
      </w:r>
      <w:r>
        <w:t xml:space="preserve"> individuellement selon la leçon.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Basculement </w:t>
      </w:r>
      <w:r>
        <w:rPr>
          <w:b/>
          <w:bCs/>
        </w:rPr>
        <w:t xml:space="preserve">BE ↔ FR en 1 clic</w:t>
      </w:r>
      <w:r>
        <w:t xml:space="preserve"> via les préréglages intégrés.</w:t>
      </w:r>
    </w:p>
    <w:p>
      <w:pPr>
        <w:pStyle w:val="Heading1"/>
      </w:pPr>
      <w:r>
        <w:t xml:space="preserve">3. RGPD by design — Zéro donnée collectée</w:t>
      </w:r>
    </w:p>
    <w:p>
      <w:pPr>
        <w:spacing w:after="100"/>
      </w:pPr>
      <w:r>
        <w:rPr>
          <w:b/>
          <w:bCs/>
        </w:rPr>
        <w:t xml:space="preserve">Froidevaux, Ganascia &amp; Kirchner (2024)</w:t>
      </w:r>
      <w:r>
        <w:t xml:space="preserve"> recommandent de traiter les données pédagogiques comme sensibles.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Traitement 100 % local</w:t>
      </w:r>
      <w:r>
        <w:t xml:space="preserve"> — aucun texte ne quitte l'ordinateur.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Zéro appel réseau, zéro cookie, zéro pistage, </w:t>
      </w:r>
      <w:r>
        <w:rPr>
          <w:b/>
          <w:bCs/>
        </w:rPr>
        <w:t xml:space="preserve">aucun compte requis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source</w:t>
      </w:r>
      <w:r>
        <w:t xml:space="preserve"> (GPL-3.0) — entièrement auditable.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OnlyOffice : solution </w:t>
      </w:r>
      <w:r>
        <w:rPr>
          <w:b/>
          <w:bCs/>
        </w:rPr>
        <w:t xml:space="preserve">européenne</w:t>
      </w:r>
      <w:r>
        <w:t xml:space="preserve">, conforme RGPD, data centers neutres en carbone.</w:t>
      </w:r>
    </w:p>
    <w:p>
      <w:pPr>
        <w:pStyle w:val="Heading1"/>
      </w:pPr>
      <w:r>
        <w:t xml:space="preserve">4. OnlyOffice : une alternative européenne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Caractéristique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Colorisation PLAI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Colorization.ch (Word)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76E54"/>
                <w:sz w:val="19"/>
                <w:szCs w:val="19"/>
              </w:rPr>
              <w:t xml:space="preserve">Gratuit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Suite bureautique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76E54"/>
                <w:sz w:val="19"/>
                <w:szCs w:val="19"/>
              </w:rPr>
              <w:t xml:space="preserve">OnlyOffice (gratuit, open source)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Microsoft Office (payant)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Données envoyées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✓ Aucune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Phonologie belge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✓ Native (1 clic)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Paramétrage manuel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Compte requis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✓ Non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Compte Microsoft</w:t>
            </w:r>
          </w:p>
        </w:tc>
      </w:tr>
    </w:tbl>
    <w:p>
      <w:pPr>
        <w:spacing w:before="200"/>
      </w:pPr>
      <w:r>
        <w:rPr>
          <w:i/>
          <w:iCs/>
          <w:color w:val="076E54"/>
          <w:sz w:val="16"/>
          <w:szCs w:val="16"/>
        </w:rPr>
        <w:t xml:space="preserve">✅ Références scientifiques vérifiées dans le corpus RISS (522 627 articles francophones)</w:t>
      </w:r>
    </w:p>
    <w:sectPr>
      <w:headerReference w:type="default" r:id="rId7"/>
      <w:footerReference w:type="default" r:id="rId8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PLAI — Pôle Liégeois d'Accompagnement vers une École Inclusive</w:t>
    </w:r>
    <w:r>
      <w:rPr>
        <w:color w:val="666666"/>
        <w:sz w:val="15"/>
        <w:szCs w:val="15"/>
      </w:rPr>
      <w:t xml:space="preserve">  |  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370" w:sz="2" w:space="4"/>
      </w:pBdr>
      <w:jc w:val="right"/>
    </w:pPr>
    <w:r>
      <w:drawing>
        <wp:inline distT="0" distB="0" distL="0" distR="0">
          <wp:extent cx="5905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F97316"/>
        <w:sz w:val="16"/>
        <w:szCs w:val="16"/>
      </w:rPr>
      <w:t xml:space="preserve">  PLAI</w:t>
    </w:r>
    <w:r>
      <w:rPr>
        <w:color w:val="666666"/>
        <w:sz w:val="16"/>
        <w:szCs w:val="16"/>
      </w:rPr>
      <w:t xml:space="preserve"> — Pourquoi 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  <w:lang w:val="fr-B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0A9370" w:sz="6" w:space="8"/>
      </w:pBdr>
      <w:spacing w:after="120" w:before="280"/>
      <w:outlineLvl w:val="0"/>
    </w:pPr>
    <w:rPr>
      <w:rFonts w:ascii="Segoe UI" w:cs="Segoe UI" w:eastAsia="Segoe UI" w:hAnsi="Segoe UI"/>
      <w:b/>
      <w:bCs/>
      <w:color w:val="0A9370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left w:val="single" w:color="0A9370" w:sz="4" w:space="6"/>
      </w:pBdr>
      <w:spacing w:after="100" w:before="200"/>
      <w:outlineLvl w:val="1"/>
    </w:pPr>
    <w:rPr>
      <w:rFonts w:ascii="Segoe UI" w:cs="Segoe UI" w:eastAsia="Segoe UI" w:hAnsi="Segoe UI"/>
      <w:b/>
      <w:bCs/>
      <w:color w:val="0A937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egoe UI" w:cs="Segoe UI" w:eastAsia="Segoe UI" w:hAnsi="Segoe U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a52f1f5c20033b0732a319f39de6750ce7ce39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2026-09-27T19:05:40.878Z</dcterms:created>
  <dcterms:modified xsi:type="dcterms:W3CDTF">2026-09-27T19:05:40.879Z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