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RELATÓRIO DE IMPACTO À PROTEÇÃO DE DADOS (RIPD)</w:t>
      </w:r>
    </w:p>
    <w:p/>
    <w:p>
      <w:r>
        <w:rPr>
          <w:sz w:val="18"/>
        </w:rPr>
        <w:t>Espaço Mindware Psicologia Ltda. | CNPJ: 41.709.325/0001-25</w:t>
        <w:br/>
        <w:t>Endereço: Rua Ribeiro de Barros, 310 – São Paulo/SP</w:t>
        <w:br/>
        <w:t>E-mail: contato@espacomindware.com.br | Telefone: (11) 3871-2894 | WhatsApp: (11) 9.8880-2007</w:t>
        <w:br/>
        <w:t>Encarregado(a) de Dados (DPO): João Felipe Monteiro Dias Bernacchio | Contato: privacidade@espacomindware.com.br | Tel.: (11) 9.8456-4364</w:t>
      </w:r>
    </w:p>
    <w:p/>
    <w:p>
      <w:r>
        <w:rPr>
          <w:b/>
          <w:sz w:val="24"/>
        </w:rPr>
        <w:t>OBJETIVO</w:t>
      </w:r>
    </w:p>
    <w:p>
      <w:r>
        <w:t>Avaliar riscos e propor mitigação para o tratamento de dados pessoais e sensíveis no contexto clínico, conforme LGPD.</w:t>
      </w:r>
    </w:p>
    <w:p/>
    <w:p>
      <w:r>
        <w:rPr>
          <w:b/>
          <w:sz w:val="24"/>
        </w:rPr>
        <w:t>ESCOPO</w:t>
      </w:r>
    </w:p>
    <w:p>
      <w:r>
        <w:t>Pacientes adultos e menores; dados cadastrais, sensíveis de saúde, financeiros e logs; processos de coleta, registro, armazenamento, comunicação e descarte; sistemas MindWare; infraestrutura Lovable/Supabase; FocusNFe; Resend.</w:t>
      </w:r>
    </w:p>
    <w:p/>
    <w:p>
      <w:r>
        <w:rPr>
          <w:b/>
          <w:sz w:val="24"/>
        </w:rPr>
        <w:t>BASES LEGAIS</w:t>
      </w:r>
    </w:p>
    <w:p>
      <w:r>
        <w:t>Execução de contrato (Art. 7º, V); Tutela da saúde (Art. 11, II, f); Obrigação legal (Art. 7º, II); Consentimento (Art. 7º, I; Art. 11, I). Logs: Legítimo Interesse (Art. 7º, IX) + dever de segurança (Art. 46).</w:t>
      </w:r>
    </w:p>
    <w:p/>
    <w:p>
      <w:r>
        <w:rPr>
          <w:b/>
          <w:sz w:val="24"/>
        </w:rPr>
        <w:t>TELEPSICOLOGIA</w:t>
      </w:r>
    </w:p>
    <w:p>
      <w:r>
        <w:t>Atendimentos online conforme Resolução CFP nº 09/2024.</w:t>
      </w:r>
    </w:p>
    <w:p/>
    <w:p>
      <w:r>
        <w:rPr>
          <w:b/>
          <w:sz w:val="24"/>
        </w:rPr>
        <w:t>TRANSFERÊNCIA INTERNACIONAL</w:t>
      </w:r>
    </w:p>
    <w:p>
      <w:r>
        <w:t>Possível via Lovable/Supabase e Resend (EUA/Europa); salvaguardas contratuais (Art. 33, VIII), criptografia, certificações ISO 27001/SOC2.</w:t>
      </w:r>
    </w:p>
    <w:p/>
    <w:p>
      <w:r>
        <w:rPr>
          <w:b/>
          <w:sz w:val="24"/>
        </w:rPr>
        <w:t>AVALIAÇÃO DE RISCO RESIDUAL</w:t>
      </w:r>
    </w:p>
    <w:p>
      <w:r>
        <w:t>Risco residual: Baixo a Médio, com controles técnicos e organizacionais adequados, conforme documentos de suporte (ROPA, Norma, Runbook).</w:t>
      </w:r>
    </w:p>
    <w:p/>
    <w:p>
      <w:pPr>
        <w:jc w:val="right"/>
      </w:pPr>
      <w:r>
        <w:t>Versão 1.1 – Última atualização: 30/10/2025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