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POLÍTICA DE PRIVACIDADE – ESPAÇO MINDWARE PSICOLOGIA LTDA.</w:t>
      </w:r>
    </w:p>
    <w:p/>
    <w:p>
      <w:r>
        <w:rPr>
          <w:sz w:val="18"/>
        </w:rPr>
        <w:t>Espaço Mindware Psicologia Ltda. | CNPJ: 41.709.325/0001-25</w:t>
        <w:br/>
        <w:t>Endereço: Rua Ribeiro de Barros, 310 – São Paulo/SP</w:t>
        <w:br/>
        <w:t>E-mail: contato@espacomindware.com.br | Telefone: (11) 3871-2894 | WhatsApp: (11) 9.8880-2007</w:t>
        <w:br/>
        <w:t>Encarregado(a) de Dados (DPO): João Felipe Monteiro Dias Bernacchio | Contato: privacidade@espacomindware.com.br | Tel.: (11) 9.8456-4364</w:t>
      </w:r>
    </w:p>
    <w:p/>
    <w:p>
      <w:r>
        <w:rPr>
          <w:b/>
          <w:sz w:val="24"/>
        </w:rPr>
        <w:t>1. Finalidade e Âmbito</w:t>
      </w:r>
    </w:p>
    <w:p>
      <w:r>
        <w:t>Esta Política informa como tratamos dados pessoais e sensíveis de pacientes e usuários, conforme a LGPD e resoluções aplicáveis do CFP.</w:t>
      </w:r>
    </w:p>
    <w:p/>
    <w:p>
      <w:r>
        <w:rPr>
          <w:b/>
          <w:sz w:val="24"/>
        </w:rPr>
        <w:t>2. Controlador e Canais</w:t>
      </w:r>
    </w:p>
    <w:p>
      <w:r>
        <w:t>O controlador é Espaço Mindware Psicologia Ltda. (CNPJ 41.709.325/0001-25). Canal oficial: privacidade@espacomindware.com.br.</w:t>
      </w:r>
    </w:p>
    <w:p/>
    <w:p>
      <w:r>
        <w:rPr>
          <w:b/>
          <w:sz w:val="24"/>
        </w:rPr>
        <w:t>3. Bases Legais e Finalidades</w:t>
      </w:r>
    </w:p>
    <w:p>
      <w:r>
        <w:t>- Execução dos serviços psicológicos (art. 7º, V)</w:t>
      </w:r>
    </w:p>
    <w:p>
      <w:r>
        <w:t>- Cumprimento de obrigações legais e éticas (art. 7º, II; CFP)</w:t>
      </w:r>
    </w:p>
    <w:p>
      <w:r>
        <w:t>- Tutela da saúde e proteção da vida (art. 11, II, f; art. 7º, VII)</w:t>
      </w:r>
    </w:p>
    <w:p>
      <w:r>
        <w:t>- Exercício regular de direitos (art. 7º, VI)</w:t>
      </w:r>
    </w:p>
    <w:p>
      <w:r>
        <w:t>- Consentimento do titular quando aplicável (art. 7º, I; art. 11, I)</w:t>
      </w:r>
    </w:p>
    <w:p/>
    <w:p>
      <w:r>
        <w:rPr>
          <w:b/>
          <w:sz w:val="24"/>
        </w:rPr>
        <w:t>4. Dados Coletados</w:t>
      </w:r>
    </w:p>
    <w:p>
      <w:r>
        <w:t>Identificação, informações clínicas, histórico terapêutico, registros de sessões e dados financeiros para emissão de NFS-e.</w:t>
      </w:r>
    </w:p>
    <w:p/>
    <w:p>
      <w:r>
        <w:rPr>
          <w:b/>
          <w:sz w:val="24"/>
        </w:rPr>
        <w:t>5. Operadores e Suboperadores</w:t>
      </w:r>
    </w:p>
    <w:p>
      <w:r>
        <w:t>Utilizamos operadores para viabilizar a operação do serviço:</w:t>
      </w:r>
    </w:p>
    <w:p>
      <w:r>
        <w:t>- Lovable Cloud / Supabase – hospedagem da aplicação e banco de dados (possível processamento internacional);</w:t>
      </w:r>
    </w:p>
    <w:p>
      <w:r>
        <w:t>- FocusNFe – emissão de Notas Fiscais de Serviço eletrônicas (NFS-e);</w:t>
      </w:r>
    </w:p>
    <w:p>
      <w:r>
        <w:t>- Resend – envio de e-mails transacionais.</w:t>
      </w:r>
    </w:p>
    <w:p>
      <w:r>
        <w:t>Todos atuam sob contratos/termos compatíveis com a LGPD, com cláusulas de proteção de dados (DPAs/termos equivalentes) e controles de segurança. Removida a expressão "único operador".</w:t>
      </w:r>
    </w:p>
    <w:p/>
    <w:p>
      <w:r>
        <w:rPr>
          <w:b/>
          <w:sz w:val="24"/>
        </w:rPr>
        <w:t>6. Registro de Operações (ROPA) e RIPD</w:t>
      </w:r>
    </w:p>
    <w:p>
      <w:r>
        <w:t>Mantemos ROPA (art. 37 da LGPD) e Relatório de Impacto (RIPD) para fluxos de alto risco (dados sensíveis/menores).</w:t>
      </w:r>
    </w:p>
    <w:p/>
    <w:p>
      <w:r>
        <w:rPr>
          <w:b/>
          <w:sz w:val="24"/>
        </w:rPr>
        <w:t>7. Armazenamento, Segurança e Transferência Internacional</w:t>
      </w:r>
    </w:p>
    <w:p>
      <w:r>
        <w:t>Autenticação multifator, criptografia e controle de acesso. Hospedagem em Lovable/Supabase. O uso de Lovable/Supabase e Resend pode implicar transferência internacional (EUA/Europa). Aplicamos salvaguardas contratuais adequadas (art. 33, VIII), criptografia e certificações de segurança (ISO 27001/SOC 2).</w:t>
      </w:r>
    </w:p>
    <w:p/>
    <w:p>
      <w:r>
        <w:rPr>
          <w:b/>
          <w:sz w:val="24"/>
        </w:rPr>
        <w:t>8. Retenção e Descarte</w:t>
      </w:r>
    </w:p>
    <w:p>
      <w:r>
        <w:t>Prontuários e dados clínicos: mínimo de 5 anos após término do atendimento (Resolução CFP nº 001/2009). Após o prazo, eliminação segura ou anonimização, com registro de descarte.</w:t>
      </w:r>
    </w:p>
    <w:p/>
    <w:p>
      <w:r>
        <w:rPr>
          <w:b/>
          <w:sz w:val="24"/>
        </w:rPr>
        <w:t>9. Telepsicologia (TDICs)</w:t>
      </w:r>
    </w:p>
    <w:p>
      <w:r>
        <w:t>Atendimentos online conforme a Resolução CFP nº 09/2024.</w:t>
      </w:r>
    </w:p>
    <w:p/>
    <w:p>
      <w:r>
        <w:rPr>
          <w:b/>
          <w:sz w:val="24"/>
        </w:rPr>
        <w:t>10. Direitos do Titular</w:t>
      </w:r>
    </w:p>
    <w:p>
      <w:r>
        <w:t>Solicitações para confirmação, acesso, correção, anonimização, portabilidade e eliminação: privacidade@espacomindware.com.br.</w:t>
      </w:r>
    </w:p>
    <w:p/>
    <w:p>
      <w:r>
        <w:rPr>
          <w:b/>
          <w:sz w:val="24"/>
        </w:rPr>
        <w:t>11. Cookies e Rastreamento</w:t>
      </w:r>
    </w:p>
    <w:p>
      <w:r>
        <w:t>Não utilizamos cookies de rastreamento ou anúncios no site institucional.</w:t>
      </w:r>
    </w:p>
    <w:p/>
    <w:p>
      <w:r>
        <w:rPr>
          <w:b/>
          <w:sz w:val="24"/>
        </w:rPr>
        <w:t>12. Treinamento e Confidencialidade</w:t>
      </w:r>
    </w:p>
    <w:p>
      <w:r>
        <w:t>Profissionais vinculados assinam Termo de Confidencialidade e participam de treinamento periódico.</w:t>
      </w:r>
    </w:p>
    <w:p/>
    <w:p>
      <w:pPr>
        <w:jc w:val="right"/>
      </w:pPr>
      <w:r>
        <w:t>Versão 1.1 – Última atualização: 30/10/2025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