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REGISTRO DAS OPERAÇÕES DE TRATAMENTO DE DADOS (ROPA)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IDENTIFICAÇÃO DO CONTROLADOR</w:t>
      </w:r>
    </w:p>
    <w:p>
      <w:r>
        <w:t>Razão Social: Espaço Mindware Psicologia Ltda.</w:t>
      </w:r>
    </w:p>
    <w:p>
      <w:r>
        <w:t>CNPJ: 41.709.325/0001-25</w:t>
      </w:r>
    </w:p>
    <w:p>
      <w:r>
        <w:t>Endereço: Rua Ribeiro de Barros, 310 – São Paulo/SP</w:t>
      </w:r>
    </w:p>
    <w:p>
      <w:r>
        <w:t>E-mail institucional: contato@espacomindware.com.br</w:t>
      </w:r>
    </w:p>
    <w:p>
      <w:r>
        <w:t>Telefone: (11) 3871-2894 | WhatsApp: (11) 9.8880-2007</w:t>
      </w:r>
    </w:p>
    <w:p/>
    <w:p>
      <w:r>
        <w:t>Encarregado de Proteção de Dados (DPO): João Felipe Monteiro Dias Bernacchio</w:t>
      </w:r>
    </w:p>
    <w:p>
      <w:r>
        <w:t>E-mail: privacidade@espacomindware.com.br | Telefone: (11) 9.8456-4364</w:t>
      </w:r>
    </w:p>
    <w:p/>
    <w:p>
      <w:r>
        <w:rPr>
          <w:b/>
          <w:sz w:val="24"/>
        </w:rPr>
        <w:t>FINALIDADES DO TRATAMENTO</w:t>
      </w:r>
    </w:p>
    <w:p>
      <w:r>
        <w:t>Prestação de serviços clínicos; gestão administrativa e financeira; comunicação com pacientes; segurança e auditoria; cumprimento de obrigações legais.</w:t>
      </w:r>
    </w:p>
    <w:p/>
    <w:p>
      <w:r>
        <w:rPr>
          <w:b/>
          <w:sz w:val="24"/>
        </w:rPr>
        <w:t>BASES LEGAIS (Art. 7º e 11 da LGPD) – QUADRO RESUMO</w:t>
      </w:r>
    </w:p>
    <w:p>
      <w:r>
        <w:t>Atendimento clínico: Tutela da saúde (Art. 11, II, f)</w:t>
      </w:r>
    </w:p>
    <w:p>
      <w:r>
        <w:t>Gestão administrativa: Execução de contrato (Art. 7º, V)</w:t>
      </w:r>
    </w:p>
    <w:p>
      <w:r>
        <w:t>Emissão de NFS-e: Obrigação legal (Art. 7º, II)</w:t>
      </w:r>
    </w:p>
    <w:p>
      <w:r>
        <w:t>Telepsicologia: Consentimento explícito quando aplicável (Art. 7º, I; Art. 11, I)</w:t>
      </w:r>
    </w:p>
    <w:p>
      <w:r>
        <w:t>Comunicação com pacientes: Legítimo Interesse (Art. 7º, IX)</w:t>
      </w:r>
    </w:p>
    <w:p>
      <w:r>
        <w:t>Logs de segurança/auditoria: Legítimo Interesse (Art. 7º, IX); reforço do dever de segurança (Art. 46 – fundamento de dever, não base legal)</w:t>
      </w:r>
    </w:p>
    <w:p/>
    <w:p>
      <w:r>
        <w:rPr>
          <w:b/>
          <w:sz w:val="24"/>
        </w:rPr>
        <w:t>OPERADORES E SUBOPERADORES</w:t>
      </w:r>
    </w:p>
    <w:p>
      <w:r>
        <w:t>Lovable Cloud/Supabase – Hospedagem/BD (EUA/Europa)</w:t>
      </w:r>
    </w:p>
    <w:p>
      <w:r>
        <w:t>FocusNFe – Emissão de NFS-e (Brasil)</w:t>
      </w:r>
    </w:p>
    <w:p>
      <w:r>
        <w:t>Resend – E-mail transacional (EUA)</w:t>
      </w:r>
    </w:p>
    <w:p>
      <w:r>
        <w:t>Transferência internacional possível; salvaguardas contratuais (Art. 33, VIII).</w:t>
      </w:r>
    </w:p>
    <w:p/>
    <w:p>
      <w:r>
        <w:rPr>
          <w:b/>
          <w:sz w:val="24"/>
        </w:rPr>
        <w:t>LOGS DE AUDITORIA – RETENÇÃO E REVISÃO</w:t>
      </w:r>
    </w:p>
    <w:p>
      <w:r>
        <w:t>Armazenamento: banco de dados (Supabase).</w:t>
      </w:r>
    </w:p>
    <w:p>
      <w:r>
        <w:t>Retenção mínima: 12 meses (harmonizado com a Norma Interna).</w:t>
      </w:r>
    </w:p>
    <w:p>
      <w:r>
        <w:t>Preservação por 5 anos em caso de incidente relevante.</w:t>
      </w:r>
    </w:p>
    <w:p>
      <w:r>
        <w:t>Revisão: semanal pelo DPO; verificada aderência trimestral.</w:t>
      </w:r>
    </w:p>
    <w:p/>
    <w:p>
      <w:r>
        <w:rPr>
          <w:b/>
          <w:sz w:val="24"/>
        </w:rPr>
        <w:t>PRAZOS DE RETENÇÃO</w:t>
      </w:r>
    </w:p>
    <w:p>
      <w:r>
        <w:t>Prontuários: 5 anos após término (CFP 001/2009). Dados financeiros: 5 anos (fiscal). Dados cadastrais: 5 anos após término. Logs: 12 meses; 5 anos se vinculados a incidente.</w:t>
      </w:r>
    </w:p>
    <w:p/>
    <w:p>
      <w:r>
        <w:rPr>
          <w:b/>
          <w:sz w:val="24"/>
        </w:rPr>
        <w:t>TRANSFERÊNCIA INTERNACIONAL</w:t>
      </w:r>
    </w:p>
    <w:p>
      <w:r>
        <w:t>Destinos potenciais: EUA/Europa (Lovable/Supabase e Resend). Salvaguardas: cláusulas contratuais, certificações, criptografia.</w:t>
      </w:r>
    </w:p>
    <w:p/>
    <w:p>
      <w:r>
        <w:rPr>
          <w:b/>
          <w:sz w:val="24"/>
        </w:rPr>
        <w:t>DECLARAÇÃO DE CONFORMIDADE</w:t>
      </w:r>
    </w:p>
    <w:p>
      <w:r>
        <w:t>Este ROPA foi revisado para harmonização dos prazos de logs e adequação da base legal de logs à finalidade de segurança.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