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80" w:lineRule="auto"/>
        <w:jc w:val="center"/>
      </w:pPr>
      <w:r>
        <w:rPr>
          <w:rFonts w:ascii="Times New Roman" w:hAnsi="Times New Roman"/>
          <w:b w:val="0"/>
          <w:i w:val="0"/>
          <w:sz w:val="24"/>
        </w:rPr>
      </w:r>
    </w:p>
    <w:p>
      <w:pPr>
        <w:spacing w:before="0" w:after="240" w:line="480" w:lineRule="auto"/>
        <w:jc w:val="center"/>
      </w:pPr>
      <w:r>
        <w:rPr>
          <w:rFonts w:ascii="Times New Roman" w:hAnsi="Times New Roman"/>
          <w:b w:val="0"/>
          <w:i w:val="0"/>
          <w:sz w:val="24"/>
        </w:rPr>
      </w:r>
    </w:p>
    <w:p>
      <w:pPr>
        <w:spacing w:before="0" w:after="240" w:line="480" w:lineRule="auto"/>
        <w:jc w:val="center"/>
      </w:pPr>
      <w:r>
        <w:rPr>
          <w:rFonts w:ascii="Times New Roman" w:hAnsi="Times New Roman"/>
          <w:b w:val="0"/>
          <w:i w:val="0"/>
          <w:sz w:val="24"/>
        </w:rPr>
      </w:r>
    </w:p>
    <w:p>
      <w:pPr>
        <w:spacing w:before="0" w:after="240" w:line="480" w:lineRule="auto"/>
        <w:jc w:val="center"/>
      </w:pPr>
      <w:r>
        <w:rPr>
          <w:rFonts w:ascii="Times New Roman" w:hAnsi="Times New Roman"/>
          <w:b w:val="0"/>
          <w:i w:val="0"/>
          <w:sz w:val="24"/>
        </w:rPr>
      </w:r>
    </w:p>
    <w:p>
      <w:pPr>
        <w:spacing w:before="0" w:after="240" w:line="480" w:lineRule="auto"/>
        <w:jc w:val="center"/>
      </w:pPr>
      <w:r>
        <w:rPr>
          <w:rFonts w:ascii="Times New Roman" w:hAnsi="Times New Roman"/>
          <w:b/>
          <w:i w:val="0"/>
          <w:sz w:val="24"/>
        </w:rPr>
        <w:t>Sentiment Analysis of YouTube Comments on El Salvador: A Natural Language Processing Approach</w:t>
      </w:r>
    </w:p>
    <w:p>
      <w:pPr>
        <w:spacing w:before="0" w:after="240" w:line="480" w:lineRule="auto"/>
        <w:jc w:val="center"/>
      </w:pPr>
      <w:r>
        <w:rPr>
          <w:rFonts w:ascii="Times New Roman" w:hAnsi="Times New Roman"/>
          <w:b w:val="0"/>
          <w:i w:val="0"/>
          <w:sz w:val="24"/>
        </w:rPr>
      </w:r>
    </w:p>
    <w:p>
      <w:pPr>
        <w:spacing w:before="0" w:after="240" w:line="480" w:lineRule="auto"/>
        <w:jc w:val="center"/>
      </w:pPr>
      <w:r>
        <w:rPr>
          <w:rFonts w:ascii="Times New Roman" w:hAnsi="Times New Roman"/>
          <w:b w:val="0"/>
          <w:i w:val="0"/>
          <w:sz w:val="24"/>
        </w:rPr>
        <w:t>Juan Felipe Bernal Patiño</w:t>
      </w:r>
    </w:p>
    <w:p>
      <w:pPr>
        <w:spacing w:before="0" w:after="240" w:line="480" w:lineRule="auto"/>
        <w:jc w:val="center"/>
      </w:pPr>
      <w:r>
        <w:rPr>
          <w:rFonts w:ascii="Times New Roman" w:hAnsi="Times New Roman"/>
          <w:b w:val="0"/>
          <w:i w:val="0"/>
          <w:sz w:val="24"/>
        </w:rPr>
      </w:r>
    </w:p>
    <w:p>
      <w:pPr>
        <w:spacing w:before="0" w:after="240" w:line="480" w:lineRule="auto"/>
        <w:jc w:val="center"/>
      </w:pPr>
      <w:r>
        <w:rPr>
          <w:rFonts w:ascii="Times New Roman" w:hAnsi="Times New Roman"/>
          <w:b w:val="0"/>
          <w:i w:val="0"/>
          <w:sz w:val="24"/>
        </w:rPr>
        <w:t>Department of Computer Science, Universidad Nacional</w:t>
      </w:r>
    </w:p>
    <w:p>
      <w:pPr>
        <w:spacing w:before="0" w:after="240" w:line="480" w:lineRule="auto"/>
        <w:jc w:val="center"/>
      </w:pPr>
      <w:r>
        <w:rPr>
          <w:rFonts w:ascii="Times New Roman" w:hAnsi="Times New Roman"/>
          <w:b w:val="0"/>
          <w:i w:val="0"/>
          <w:sz w:val="24"/>
        </w:rPr>
      </w:r>
    </w:p>
    <w:p>
      <w:pPr>
        <w:spacing w:before="0" w:after="240" w:line="480" w:lineRule="auto"/>
        <w:jc w:val="center"/>
      </w:pPr>
      <w:r>
        <w:rPr>
          <w:rFonts w:ascii="Times New Roman" w:hAnsi="Times New Roman"/>
          <w:b w:val="0"/>
          <w:i w:val="0"/>
          <w:sz w:val="24"/>
        </w:rPr>
        <w:t>Natural Language Processing — Text Processing</w:t>
      </w:r>
    </w:p>
    <w:p>
      <w:pPr>
        <w:spacing w:before="0" w:after="240" w:line="480" w:lineRule="auto"/>
        <w:jc w:val="center"/>
      </w:pPr>
      <w:r>
        <w:rPr>
          <w:rFonts w:ascii="Times New Roman" w:hAnsi="Times New Roman"/>
          <w:b w:val="0"/>
          <w:i w:val="0"/>
          <w:sz w:val="24"/>
        </w:rPr>
      </w:r>
    </w:p>
    <w:p>
      <w:pPr>
        <w:spacing w:before="0" w:after="240" w:line="480" w:lineRule="auto"/>
        <w:jc w:val="center"/>
      </w:pPr>
      <w:r>
        <w:rPr>
          <w:rFonts w:ascii="Times New Roman" w:hAnsi="Times New Roman"/>
          <w:b w:val="0"/>
          <w:i w:val="0"/>
          <w:sz w:val="24"/>
        </w:rPr>
        <w:t>May 18, 2026</w:t>
      </w:r>
    </w:p>
    <w:p>
      <w:r>
        <w:br w:type="page"/>
      </w:r>
    </w:p>
    <w:p>
      <w:pPr>
        <w:spacing w:before="0" w:after="240" w:line="480" w:lineRule="auto"/>
        <w:jc w:val="center"/>
      </w:pPr>
      <w:r>
        <w:rPr>
          <w:rFonts w:ascii="Times New Roman" w:hAnsi="Times New Roman"/>
          <w:b/>
          <w:i w:val="0"/>
          <w:sz w:val="24"/>
        </w:rPr>
        <w:t>Abstract</w:t>
      </w:r>
    </w:p>
    <w:p>
      <w:pPr>
        <w:spacing w:before="0" w:after="240" w:line="480" w:lineRule="auto"/>
        <w:ind w:firstLine="720"/>
        <w:jc w:val="both"/>
      </w:pPr>
      <w:r>
        <w:rPr>
          <w:rFonts w:ascii="Times New Roman" w:hAnsi="Times New Roman"/>
          <w:b w:val="0"/>
          <w:i w:val="0"/>
          <w:sz w:val="24"/>
        </w:rPr>
        <w:t>This study presents a comprehensive natural language processing (NLP) pipeline designed to analyze public sentiment expressed in YouTube comments on a video about El Salvador published between February and March 2026. A corpus of 4,314 comments was collected via the YouTube Data API v3 and subjected to a multi-stage preprocessing workflow that included text normalization, URL removal, Spanish stopword filtering, and morphological lemmatization using the spaCy es_core_news_sm model, resulting in a 51.2% reduction in average token count. Sentiment classification was performed using RoBERTuito, a RoBERTa-based transformer model fine-tuned on Spanish-language social media corpora and implemented via the pysentimiento library. Geographic origin was inferred using the GeoText named-entity library augmented with a custom normalization dictionary. Thematic clustering was conducted through TF-IDF vectorization coupled with K-Means, with optimal cluster selection guided by Silhouette Score and Davies-Bouldin Index. Results indicate that 41.6% of comments were classified as positive, 35.5% as negative, and 22.9% as neutral, with a statistically significant non-uniform distribution (χ² = 233.23, p &lt; .001). The model achieved a global mean confidence of 0.782, with 54.2% of predictions reaching high confidence (≥ 0.80). Clustering analysis identified eight thematically distinct groups, including gratitude expressions (86% positive), human rights discourse (81% negative), and political commentary on President Bukele (polarized). Geographic detection covered 28.4% of the corpus, with El Salvador, Colombia, and Venezuela as the most represented locations. These findings demonstrate that automated NLP pipelines can effectively characterize multi-dimensional public discourse on politically salient topics in Spanish-language social media.</w:t>
      </w:r>
    </w:p>
    <w:p>
      <w:pPr>
        <w:spacing w:before="240" w:after="0" w:line="480" w:lineRule="auto"/>
        <w:jc w:val="both"/>
      </w:pPr>
      <w:r>
        <w:rPr>
          <w:rFonts w:ascii="Times New Roman" w:hAnsi="Times New Roman"/>
          <w:i/>
          <w:sz w:val="24"/>
        </w:rPr>
        <w:t xml:space="preserve">Keywords: </w:t>
      </w:r>
      <w:r>
        <w:rPr>
          <w:rFonts w:ascii="Times New Roman" w:hAnsi="Times New Roman"/>
          <w:sz w:val="24"/>
        </w:rPr>
        <w:t>sentiment analysis, natural language processing, YouTube comments, El Salvador, RoBERTuito, K-Means clustering, TF-IDF</w:t>
      </w:r>
    </w:p>
    <w:p>
      <w:r>
        <w:br w:type="page"/>
      </w:r>
    </w:p>
    <w:p>
      <w:pPr>
        <w:spacing w:before="0" w:after="240" w:line="480" w:lineRule="auto"/>
        <w:jc w:val="center"/>
      </w:pPr>
      <w:r>
        <w:rPr>
          <w:rFonts w:ascii="Times New Roman" w:hAnsi="Times New Roman"/>
          <w:b/>
          <w:i w:val="0"/>
          <w:sz w:val="24"/>
        </w:rPr>
        <w:t>Sentiment Analysis of YouTube Comments on El Salvador: A Natural Language Processing Approach</w:t>
      </w:r>
    </w:p>
    <w:p>
      <w:pPr>
        <w:spacing w:before="480" w:after="120" w:line="480" w:lineRule="auto"/>
        <w:jc w:val="center"/>
      </w:pPr>
      <w:r>
        <w:rPr>
          <w:rFonts w:ascii="Times New Roman" w:hAnsi="Times New Roman"/>
          <w:b/>
          <w:i w:val="0"/>
          <w:sz w:val="24"/>
        </w:rPr>
        <w:t>Dataset and Preprocessing</w:t>
      </w:r>
    </w:p>
    <w:p>
      <w:pPr>
        <w:spacing w:before="360" w:after="0" w:line="480" w:lineRule="auto"/>
        <w:jc w:val="left"/>
      </w:pPr>
      <w:r>
        <w:rPr>
          <w:rFonts w:ascii="Times New Roman" w:hAnsi="Times New Roman"/>
          <w:b/>
          <w:i w:val="0"/>
          <w:sz w:val="24"/>
        </w:rPr>
        <w:t>Data Collection</w:t>
      </w:r>
    </w:p>
    <w:p>
      <w:pPr>
        <w:spacing w:before="0" w:after="240" w:line="480" w:lineRule="auto"/>
        <w:ind w:firstLine="720"/>
        <w:jc w:val="both"/>
      </w:pPr>
      <w:r>
        <w:rPr>
          <w:rFonts w:ascii="Times New Roman" w:hAnsi="Times New Roman"/>
          <w:b w:val="0"/>
          <w:i w:val="0"/>
          <w:sz w:val="24"/>
        </w:rPr>
        <w:t>The primary dataset consists of top-level comments retrieved from a single YouTube video (ID: pWnndG1K5Hg) focused on El Salvador. Data acquisition was conducted via the YouTube Data API v3 using the commentThreads.list endpoint with a target ceiling of 5,000 comments. A checkpoint mechanism was implemented to persist records every 500 entries, ensuring robustness against API quota interruptions. Each comment record retained four fields: author display name, original comment text, like count, and ISO-8601 publication timestamp. Duplicate entries sharing the same author–timestamp pair were discarded using a UNIQUE constraint at the SQLite storage layer. The final retrieved corpus comprises 4,314 unique comments spanning the period from February 1, 2026 to March 17, 2026 — a window of 45 days.</w:t>
      </w:r>
    </w:p>
    <w:p>
      <w:pPr>
        <w:spacing w:before="360" w:after="0" w:line="480" w:lineRule="auto"/>
        <w:jc w:val="left"/>
      </w:pPr>
      <w:r>
        <w:rPr>
          <w:rFonts w:ascii="Times New Roman" w:hAnsi="Times New Roman"/>
          <w:b/>
          <w:i w:val="0"/>
          <w:sz w:val="24"/>
        </w:rPr>
        <w:t>Corpus Statistics</w:t>
      </w:r>
    </w:p>
    <w:p>
      <w:pPr>
        <w:spacing w:before="360" w:after="0" w:line="480" w:lineRule="auto"/>
      </w:pPr>
      <w:r>
        <w:rPr>
          <w:rFonts w:ascii="Times New Roman" w:hAnsi="Times New Roman"/>
          <w:b/>
          <w:i w:val="0"/>
          <w:sz w:val="24"/>
        </w:rPr>
        <w:t>Table 1</w:t>
      </w:r>
    </w:p>
    <w:p>
      <w:pPr>
        <w:spacing w:before="0" w:after="0" w:line="480" w:lineRule="auto"/>
      </w:pPr>
      <w:r>
        <w:rPr>
          <w:rFonts w:ascii="Times New Roman" w:hAnsi="Times New Roman"/>
          <w:i/>
          <w:sz w:val="24"/>
        </w:rPr>
        <w:t>Descriptive Statistics of the YouTube Comment Corpus</w:t>
      </w:r>
    </w:p>
    <w:tbl>
      <w:tblPr>
        <w:tblStyle w:val="TableGrid"/>
        <w:tblW w:type="auto" w:w="0"/>
        <w:tblLook w:firstColumn="1" w:firstRow="1" w:lastColumn="0" w:lastRow="0" w:noHBand="0" w:noVBand="1" w:val="04A0"/>
      </w:tblPr>
      <w:tblGrid>
        <w:gridCol w:w="4680"/>
        <w:gridCol w:w="4680"/>
      </w:tblGrid>
      <w:tr>
        <w:tc>
          <w:tcPr>
            <w:tcW w:type="dxa" w:w="468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Attribute</w:t>
            </w:r>
          </w:p>
        </w:tc>
        <w:tc>
          <w:tcPr>
            <w:tcW w:type="dxa" w:w="468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Value</w:t>
            </w:r>
          </w:p>
        </w:tc>
      </w:tr>
      <w:tr>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Total comments</w:t>
            </w:r>
          </w:p>
        </w:tc>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4,314</w:t>
            </w:r>
          </w:p>
        </w:tc>
      </w:tr>
      <w:tr>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Date range</w:t>
            </w:r>
          </w:p>
        </w:tc>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Feb 1 – Mar 17, 2026</w:t>
            </w:r>
          </w:p>
        </w:tc>
      </w:tr>
      <w:tr>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Total received likes</w:t>
            </w:r>
          </w:p>
        </w:tc>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19,277</w:t>
            </w:r>
          </w:p>
        </w:tc>
      </w:tr>
      <w:tr>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Mean likes per comment</w:t>
            </w:r>
          </w:p>
        </w:tc>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4.47</w:t>
            </w:r>
          </w:p>
        </w:tc>
      </w:tr>
      <w:tr>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Max likes (single comment)</w:t>
            </w:r>
          </w:p>
        </w:tc>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2,436</w:t>
            </w:r>
          </w:p>
        </w:tc>
      </w:tr>
      <w:tr>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Mean words per comment (raw)</w:t>
            </w:r>
          </w:p>
        </w:tc>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33.9</w:t>
            </w:r>
          </w:p>
        </w:tc>
      </w:tr>
      <w:tr>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Mean characters per comment (raw)</w:t>
            </w:r>
          </w:p>
        </w:tc>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193.0</w:t>
            </w:r>
          </w:p>
        </w:tc>
      </w:tr>
      <w:tr>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Mean words per comment (after preprocessing)</w:t>
            </w:r>
          </w:p>
        </w:tc>
        <w:tc>
          <w:tcPr>
            <w:tcW w:type="dxa" w:w="468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16.5</w:t>
            </w:r>
          </w:p>
        </w:tc>
      </w:tr>
      <w:tr>
        <w:tc>
          <w:tcPr>
            <w:tcW w:type="dxa" w:w="468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Vocabulary reduction</w:t>
            </w:r>
          </w:p>
        </w:tc>
        <w:tc>
          <w:tcPr>
            <w:tcW w:type="dxa" w:w="468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51.2%</w:t>
            </w:r>
          </w:p>
        </w:tc>
      </w:tr>
    </w:tbl>
    <w:p>
      <w:pPr>
        <w:spacing w:before="40" w:after="360" w:line="480" w:lineRule="auto"/>
      </w:pPr>
      <w:r>
        <w:rPr>
          <w:rFonts w:ascii="Times New Roman" w:hAnsi="Times New Roman"/>
          <w:i/>
          <w:sz w:val="22"/>
        </w:rPr>
        <w:t xml:space="preserve">Note. </w:t>
      </w:r>
      <w:r>
        <w:rPr>
          <w:rFonts w:ascii="Times New Roman" w:hAnsi="Times New Roman"/>
          <w:sz w:val="22"/>
        </w:rPr>
        <w:t>Vocabulary reduction is computed as the proportional decrease in mean token count from raw text to the lemmatized, stopword-filtered representation.</w:t>
      </w:r>
    </w:p>
    <w:p>
      <w:pPr>
        <w:spacing w:before="360" w:after="0" w:line="480" w:lineRule="auto"/>
        <w:jc w:val="left"/>
      </w:pPr>
      <w:r>
        <w:rPr>
          <w:rFonts w:ascii="Times New Roman" w:hAnsi="Times New Roman"/>
          <w:b/>
          <w:i w:val="0"/>
          <w:sz w:val="24"/>
        </w:rPr>
        <w:t>Text Preprocessing Pipeline</w:t>
      </w:r>
    </w:p>
    <w:p>
      <w:pPr>
        <w:spacing w:before="0" w:after="240" w:line="480" w:lineRule="auto"/>
        <w:ind w:firstLine="720"/>
        <w:jc w:val="both"/>
      </w:pPr>
      <w:r>
        <w:rPr>
          <w:rFonts w:ascii="Times New Roman" w:hAnsi="Times New Roman"/>
          <w:b w:val="0"/>
          <w:i w:val="0"/>
          <w:sz w:val="24"/>
        </w:rPr>
        <w:t>Preprocessing followed a sequential multi-stage pipeline designed to normalize raw Spanish-language comment text while preserving morphologically relevant information. The pipeline is implemented in the limpieza_texto.py module and comprises the following operations.</w:t>
      </w:r>
    </w:p>
    <w:p>
      <w:pPr>
        <w:spacing w:before="240" w:after="0" w:line="480" w:lineRule="auto"/>
        <w:jc w:val="left"/>
      </w:pPr>
      <w:r>
        <w:rPr>
          <w:rFonts w:ascii="Times New Roman" w:hAnsi="Times New Roman"/>
          <w:b/>
          <w:i/>
          <w:sz w:val="24"/>
        </w:rPr>
        <w:t xml:space="preserve">        Lowercasing and URL Removal.</w:t>
      </w:r>
    </w:p>
    <w:p>
      <w:pPr>
        <w:spacing w:before="0" w:after="240" w:line="480" w:lineRule="auto"/>
        <w:ind w:firstLine="720"/>
        <w:jc w:val="both"/>
      </w:pPr>
      <w:r>
        <w:rPr>
          <w:rFonts w:ascii="Times New Roman" w:hAnsi="Times New Roman"/>
          <w:b w:val="0"/>
          <w:i w:val="0"/>
          <w:sz w:val="24"/>
        </w:rPr>
        <w:t>All tokens were converted to lowercase to eliminate case-based lexical heterogeneity. Hyperlinks were removed via regular expression matching on http, https, and www prefixes, as they carry no semantic value for sentiment inference.</w:t>
      </w:r>
    </w:p>
    <w:p>
      <w:pPr>
        <w:spacing w:before="240" w:after="0" w:line="480" w:lineRule="auto"/>
        <w:jc w:val="left"/>
      </w:pPr>
      <w:r>
        <w:rPr>
          <w:rFonts w:ascii="Times New Roman" w:hAnsi="Times New Roman"/>
          <w:b/>
          <w:i/>
          <w:sz w:val="24"/>
        </w:rPr>
        <w:t xml:space="preserve">        Non-alphabetic Character Filtering.</w:t>
      </w:r>
    </w:p>
    <w:p>
      <w:pPr>
        <w:spacing w:before="0" w:after="240" w:line="480" w:lineRule="auto"/>
        <w:ind w:firstLine="720"/>
        <w:jc w:val="both"/>
      </w:pPr>
      <w:r>
        <w:rPr>
          <w:rFonts w:ascii="Times New Roman" w:hAnsi="Times New Roman"/>
          <w:b w:val="0"/>
          <w:i w:val="0"/>
          <w:sz w:val="24"/>
        </w:rPr>
        <w:t>A regular expression retaining only Unicode letters within the Spanish alphabet range (a–z, á, é, í, ó, ú, ü, ñ) was applied. This step removes punctuation marks, numerical digits, and emoji sequences that would otherwise introduce noise into downstream lexical analyses. Whitespace normalization was subsequently applied to collapse multiple consecutive spaces.</w:t>
      </w:r>
    </w:p>
    <w:p>
      <w:pPr>
        <w:spacing w:before="240" w:after="0" w:line="480" w:lineRule="auto"/>
        <w:jc w:val="left"/>
      </w:pPr>
      <w:r>
        <w:rPr>
          <w:rFonts w:ascii="Times New Roman" w:hAnsi="Times New Roman"/>
          <w:b/>
          <w:i/>
          <w:sz w:val="24"/>
        </w:rPr>
        <w:t xml:space="preserve">        Stopword Removal.</w:t>
      </w:r>
    </w:p>
    <w:p>
      <w:pPr>
        <w:spacing w:before="0" w:after="240" w:line="480" w:lineRule="auto"/>
        <w:ind w:firstLine="720"/>
        <w:jc w:val="both"/>
      </w:pPr>
      <w:r>
        <w:rPr>
          <w:rFonts w:ascii="Times New Roman" w:hAnsi="Times New Roman"/>
          <w:b w:val="0"/>
          <w:i w:val="0"/>
          <w:sz w:val="24"/>
        </w:rPr>
        <w:t>Spanish stopwords were filtered using the NLTK corpus (version 3.9.3), which covers the 313 most frequent function words in the language, including determiners, prepositions, pronouns, and auxiliaries. Additionally, a minimum token length of three characters was enforced to eliminate residual uninformative tokens.</w:t>
      </w:r>
    </w:p>
    <w:p>
      <w:pPr>
        <w:spacing w:before="240" w:after="0" w:line="480" w:lineRule="auto"/>
        <w:jc w:val="left"/>
      </w:pPr>
      <w:r>
        <w:rPr>
          <w:rFonts w:ascii="Times New Roman" w:hAnsi="Times New Roman"/>
          <w:b/>
          <w:i/>
          <w:sz w:val="24"/>
        </w:rPr>
        <w:t xml:space="preserve">        Morphological Lemmatization.</w:t>
      </w:r>
    </w:p>
    <w:p>
      <w:pPr>
        <w:spacing w:before="0" w:after="240" w:line="480" w:lineRule="auto"/>
        <w:ind w:firstLine="720"/>
        <w:jc w:val="both"/>
      </w:pPr>
      <w:r>
        <w:rPr>
          <w:rFonts w:ascii="Times New Roman" w:hAnsi="Times New Roman"/>
          <w:b w:val="0"/>
          <w:i w:val="0"/>
          <w:sz w:val="24"/>
        </w:rPr>
        <w:t>Lemmatization was performed using the spaCy es_core_news_sm model (version 3.8.13), a convolutional neural network trained on Spanish Universal Dependencies data. The tagger and named-entity recognition components were disabled to reduce computational overhead, retaining only the morphological analyzer. Each token was mapped to its canonical lexeme — e.g., corriendo → correr, seguros → seguro — ensuring that inflected forms belonging to the same lemma are aggregated under a single vocabulary entry. Tokens whose lemmatized form appeared in the Spanish stopword list or had fewer than three characters were subsequently filtered.</w:t>
      </w:r>
    </w:p>
    <w:p>
      <w:pPr>
        <w:spacing w:before="240" w:after="0" w:line="480" w:lineRule="auto"/>
        <w:jc w:val="left"/>
      </w:pPr>
      <w:r>
        <w:rPr>
          <w:rFonts w:ascii="Times New Roman" w:hAnsi="Times New Roman"/>
          <w:b/>
          <w:i/>
          <w:sz w:val="24"/>
        </w:rPr>
        <w:t xml:space="preserve">        Tokenization.</w:t>
      </w:r>
    </w:p>
    <w:p>
      <w:pPr>
        <w:spacing w:before="0" w:after="240" w:line="480" w:lineRule="auto"/>
        <w:ind w:firstLine="720"/>
        <w:jc w:val="both"/>
      </w:pPr>
      <w:r>
        <w:rPr>
          <w:rFonts w:ascii="Times New Roman" w:hAnsi="Times New Roman"/>
          <w:b w:val="0"/>
          <w:i w:val="0"/>
          <w:sz w:val="24"/>
        </w:rPr>
        <w:t>Final tokenization was conducted using nltk.word_tokenize with the Spanish language parameter, which applies a rule-based Punkt tokenizer to segment the preprocessed string into individual tokens. The resulting token sequence was stored as a comma-delimited string in the tokens column of the database for downstream retrieval.</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nube_palabras.png"/>
                    <pic:cNvPicPr/>
                  </pic:nvPicPr>
                  <pic:blipFill>
                    <a:blip r:embed="rId9"/>
                    <a:stretch>
                      <a:fillRect/>
                    </a:stretch>
                  </pic:blipFill>
                  <pic:spPr>
                    <a:xfrm>
                      <a:off x="0" y="0"/>
                      <a:ext cx="5029200" cy="2514600"/>
                    </a:xfrm>
                    <a:prstGeom prst="rect"/>
                  </pic:spPr>
                </pic:pic>
              </a:graphicData>
            </a:graphic>
          </wp:inline>
        </w:drawing>
      </w:r>
    </w:p>
    <w:p>
      <w:pPr>
        <w:spacing w:before="120" w:after="360" w:line="480" w:lineRule="auto"/>
        <w:jc w:val="left"/>
      </w:pPr>
      <w:r>
        <w:rPr>
          <w:rFonts w:ascii="Times New Roman" w:hAnsi="Times New Roman"/>
          <w:b/>
          <w:i/>
          <w:sz w:val="24"/>
        </w:rPr>
        <w:t>Figure 1</w:t>
      </w:r>
      <w:r>
        <w:rPr>
          <w:rFonts w:ascii="Times New Roman" w:hAnsi="Times New Roman"/>
          <w:sz w:val="24"/>
        </w:rPr>
        <w:br/>
        <w:t>Word cloud of the 200 most frequent terms in the raw (pre-preprocessing) comment corpus. Stopwords, conjunctions, and function words dominate, illustrating the need for the preprocessing pipeline described in this section.</w:t>
      </w:r>
    </w:p>
    <w:p>
      <w:pPr>
        <w:jc w:val="center"/>
      </w:pPr>
      <w:r>
        <w:drawing>
          <wp:inline xmlns:a="http://schemas.openxmlformats.org/drawingml/2006/main" xmlns:pic="http://schemas.openxmlformats.org/drawingml/2006/picture">
            <wp:extent cx="5029200" cy="2682240"/>
            <wp:docPr id="2" name="Picture 2"/>
            <wp:cNvGraphicFramePr>
              <a:graphicFrameLocks noChangeAspect="1"/>
            </wp:cNvGraphicFramePr>
            <a:graphic>
              <a:graphicData uri="http://schemas.openxmlformats.org/drawingml/2006/picture">
                <pic:pic>
                  <pic:nvPicPr>
                    <pic:cNvPr id="0" name="nube_palabras_limpia.png"/>
                    <pic:cNvPicPr/>
                  </pic:nvPicPr>
                  <pic:blipFill>
                    <a:blip r:embed="rId10"/>
                    <a:stretch>
                      <a:fillRect/>
                    </a:stretch>
                  </pic:blipFill>
                  <pic:spPr>
                    <a:xfrm>
                      <a:off x="0" y="0"/>
                      <a:ext cx="5029200" cy="2682240"/>
                    </a:xfrm>
                    <a:prstGeom prst="rect"/>
                  </pic:spPr>
                </pic:pic>
              </a:graphicData>
            </a:graphic>
          </wp:inline>
        </w:drawing>
      </w:r>
    </w:p>
    <w:p>
      <w:pPr>
        <w:spacing w:before="120" w:after="360" w:line="480" w:lineRule="auto"/>
        <w:jc w:val="left"/>
      </w:pPr>
      <w:r>
        <w:rPr>
          <w:rFonts w:ascii="Times New Roman" w:hAnsi="Times New Roman"/>
          <w:b/>
          <w:i/>
          <w:sz w:val="24"/>
        </w:rPr>
        <w:t>Figure 2</w:t>
      </w:r>
      <w:r>
        <w:rPr>
          <w:rFonts w:ascii="Times New Roman" w:hAnsi="Times New Roman"/>
          <w:sz w:val="24"/>
        </w:rPr>
        <w:br/>
        <w:t>Word cloud generated from lemmatized, stopword-filtered comment text. Semantically informative terms — such as salvador, bukele, seguridad (security), and paz (peace) — are now prominent, reflecting the politically and socially thematic nature of the corpus.</w:t>
      </w:r>
    </w:p>
    <w:p>
      <w:r>
        <w:br w:type="page"/>
      </w:r>
    </w:p>
    <w:p>
      <w:pPr>
        <w:spacing w:before="480" w:after="120" w:line="480" w:lineRule="auto"/>
        <w:jc w:val="center"/>
      </w:pPr>
      <w:r>
        <w:rPr>
          <w:rFonts w:ascii="Times New Roman" w:hAnsi="Times New Roman"/>
          <w:b/>
          <w:i w:val="0"/>
          <w:sz w:val="24"/>
        </w:rPr>
        <w:t>Methods</w:t>
      </w:r>
    </w:p>
    <w:p>
      <w:pPr>
        <w:spacing w:before="360" w:after="0" w:line="480" w:lineRule="auto"/>
        <w:jc w:val="left"/>
      </w:pPr>
      <w:r>
        <w:rPr>
          <w:rFonts w:ascii="Times New Roman" w:hAnsi="Times New Roman"/>
          <w:b/>
          <w:i w:val="0"/>
          <w:sz w:val="24"/>
        </w:rPr>
        <w:t>Geographic Origin Extraction</w:t>
      </w:r>
    </w:p>
    <w:p>
      <w:pPr>
        <w:spacing w:before="0" w:after="240" w:line="480" w:lineRule="auto"/>
        <w:ind w:firstLine="720"/>
        <w:jc w:val="both"/>
      </w:pPr>
      <w:r>
        <w:rPr>
          <w:rFonts w:ascii="Times New Roman" w:hAnsi="Times New Roman"/>
          <w:b w:val="0"/>
          <w:i w:val="0"/>
          <w:sz w:val="24"/>
        </w:rPr>
        <w:t>Automatic detection of the geographic origin of each comment was implemented using the GeoText library (version 0.4.0), which applies a lexicon-based approach to identify city and country names within free text. This method was chosen for its efficiency and zero-shot applicability — no language-specific training is required and it operates directly on the original (non-preprocessed) comment text to maximize entity recall before stopword removal.</w:t>
      </w:r>
    </w:p>
    <w:p>
      <w:pPr>
        <w:spacing w:before="0" w:after="240" w:line="480" w:lineRule="auto"/>
        <w:ind w:firstLine="720"/>
        <w:jc w:val="both"/>
      </w:pPr>
      <w:r>
        <w:rPr>
          <w:rFonts w:ascii="Times New Roman" w:hAnsi="Times New Roman"/>
          <w:b w:val="0"/>
          <w:i w:val="0"/>
          <w:sz w:val="24"/>
        </w:rPr>
        <w:t>To reduce false-positive detections, a domain-specific suppression list (STOPWORDS_GEO) of 82 high-frequency Spanish words that coincide with geographic names — such as mar (sea), sur (south), and sol (sun) — was applied. Additionally, a normalization dictionary (ALIASES_GEO) mapped variant spellings and administrative subdivisions to canonical country names, for example San Salvador → El Salvador and E.S. → El Salvador. A comment was assigned the label 'no information' when no valid place name was detected after the suppression and normalization steps.</w:t>
      </w:r>
    </w:p>
    <w:p>
      <w:pPr>
        <w:spacing w:before="360" w:after="0" w:line="480" w:lineRule="auto"/>
        <w:jc w:val="left"/>
      </w:pPr>
      <w:r>
        <w:rPr>
          <w:rFonts w:ascii="Times New Roman" w:hAnsi="Times New Roman"/>
          <w:b/>
          <w:i w:val="0"/>
          <w:sz w:val="24"/>
        </w:rPr>
        <w:t>Sentiment Classification</w:t>
      </w:r>
    </w:p>
    <w:p>
      <w:pPr>
        <w:spacing w:before="0" w:after="240" w:line="480" w:lineRule="auto"/>
        <w:ind w:firstLine="720"/>
        <w:jc w:val="both"/>
      </w:pPr>
      <w:r>
        <w:rPr>
          <w:rFonts w:ascii="Times New Roman" w:hAnsi="Times New Roman"/>
          <w:b w:val="0"/>
          <w:i w:val="0"/>
          <w:sz w:val="24"/>
        </w:rPr>
        <w:t>Sentiment classification was performed using RoBERTuito (Pérez et al., 2022), a RoBERTa-based transformer model specifically pre-trained on 500 million Twitter messages in Spanish and subsequently fine-tuned on sentiment-labeled datasets covering diverse Spanish-speaking regions including Mexico, Argentina, and the Caribbean. The model was accessed via the pysentimiento library (version 0.7.3), which encapsulates the inference pipeline and exposes a three-class output: POS (positive), NEG (negative), and NEU (neutral).</w:t>
      </w:r>
    </w:p>
    <w:p>
      <w:pPr>
        <w:spacing w:before="0" w:after="240" w:line="480" w:lineRule="auto"/>
        <w:ind w:firstLine="720"/>
        <w:jc w:val="both"/>
      </w:pPr>
      <w:r>
        <w:rPr>
          <w:rFonts w:ascii="Times New Roman" w:hAnsi="Times New Roman"/>
          <w:b w:val="0"/>
          <w:i w:val="0"/>
          <w:sz w:val="24"/>
        </w:rPr>
        <w:t>The selection of RoBERTuito over alternative Spanish-language models — such as BERTin, BETO, or multilingual XLM-RoBERTa — was justified by three considerations. First, RoBERTuito was trained on informal social media text, which more closely resembles the register of YouTube comments than text from news corpora or formal documents. Second, the model's training corpus encompasses a broad dialectal diversity of Latin American Spanish, which is critical given the multinational audience detected in this dataset. Third, it achieves state-of-the-art performance on the SemEval-2017 Task 4 Spanish sentiment benchmark (Pérez et al., 2022).</w:t>
      </w:r>
    </w:p>
    <w:p>
      <w:pPr>
        <w:spacing w:before="0" w:after="240" w:line="480" w:lineRule="auto"/>
        <w:ind w:firstLine="720"/>
        <w:jc w:val="both"/>
      </w:pPr>
      <w:r>
        <w:rPr>
          <w:rFonts w:ascii="Times New Roman" w:hAnsi="Times New Roman"/>
          <w:b w:val="0"/>
          <w:i w:val="0"/>
          <w:sz w:val="24"/>
        </w:rPr>
        <w:t>Inference was conducted in mini-batches of 32 comments to balance GPU memory utilization and throughput. The model's softmax output probability for the predicted class was stored as the confidence score. Checkpointing every 500 records was implemented to preserve partial results in the event of process interruption. Comments classified by the preprocessed text (texto_limpio) were prioritized; if this field was empty, the original comment text served as fallback input.</w:t>
      </w:r>
    </w:p>
    <w:p>
      <w:pPr>
        <w:spacing w:before="360" w:after="0" w:line="480" w:lineRule="auto"/>
        <w:jc w:val="left"/>
      </w:pPr>
      <w:r>
        <w:rPr>
          <w:rFonts w:ascii="Times New Roman" w:hAnsi="Times New Roman"/>
          <w:b/>
          <w:i w:val="0"/>
          <w:sz w:val="24"/>
        </w:rPr>
        <w:t>Thematic Clustering</w:t>
      </w:r>
    </w:p>
    <w:p>
      <w:pPr>
        <w:spacing w:before="0" w:after="240" w:line="480" w:lineRule="auto"/>
        <w:ind w:firstLine="720"/>
        <w:jc w:val="both"/>
      </w:pPr>
      <w:r>
        <w:rPr>
          <w:rFonts w:ascii="Times New Roman" w:hAnsi="Times New Roman"/>
          <w:b w:val="0"/>
          <w:i w:val="0"/>
          <w:sz w:val="24"/>
        </w:rPr>
        <w:t>Unsupervised thematic clustering was applied to identify latent discourse communities within the corpus. Text was vectorized using TF-IDF (Term Frequency-Inverse Document Frequency) with the following hyperparameters: vocabulary limited to the 500 most informative terms, minimum document frequency of 3 (min_df = 3), maximum document frequency ratio of 0.85 (max_df = 0.85), unigram and bigram features (ngram_range = (1, 2)), and sublinear TF scaling to compress the dynamic range of high-frequency terms. The resulting sparse document-term matrix (4,262 × 500) was then submitted to K-Means clustering (scikit-learn v1.8.0, random_state = 42, n_init = 10).</w:t>
      </w:r>
    </w:p>
    <w:p>
      <w:pPr>
        <w:spacing w:before="0" w:after="240" w:line="480" w:lineRule="auto"/>
        <w:ind w:firstLine="720"/>
        <w:jc w:val="both"/>
      </w:pPr>
      <w:r>
        <w:rPr>
          <w:rFonts w:ascii="Times New Roman" w:hAnsi="Times New Roman"/>
          <w:b w:val="0"/>
          <w:i w:val="0"/>
          <w:sz w:val="24"/>
        </w:rPr>
        <w:t>The optimal number of clusters K was determined by sweeping K from 2 to 8 and evaluating three complementary criteria: (a) the elbow method on within-cluster sum of squares (inertia), (b) the Silhouette Score, which measures the ratio of intra-cluster cohesion to inter-cluster separation on a [-1, 1] scale, and (c) the Davies-Bouldin Index (DBI), which penalizes cluster configurations in which clusters are simultaneously dispersed and mutually similar. The value K = 8 was selected, yielding the maximum Silhouette Score across the range evaluated. Two-dimensional visualization of the clustering solution was produced via Principal Component Analysis (PCA) projection.</w:t>
      </w:r>
    </w:p>
    <w:p>
      <w:pPr>
        <w:spacing w:before="360" w:after="0" w:line="480" w:lineRule="auto"/>
        <w:jc w:val="left"/>
      </w:pPr>
      <w:r>
        <w:rPr>
          <w:rFonts w:ascii="Times New Roman" w:hAnsi="Times New Roman"/>
          <w:b/>
          <w:i w:val="0"/>
          <w:sz w:val="24"/>
        </w:rPr>
        <w:t>Performance Metrics (Unsupervised Evaluation)</w:t>
      </w:r>
    </w:p>
    <w:p>
      <w:pPr>
        <w:spacing w:before="0" w:after="240" w:line="480" w:lineRule="auto"/>
        <w:ind w:firstLine="720"/>
        <w:jc w:val="both"/>
      </w:pPr>
      <w:r>
        <w:rPr>
          <w:rFonts w:ascii="Times New Roman" w:hAnsi="Times New Roman"/>
          <w:b w:val="0"/>
          <w:i w:val="0"/>
          <w:sz w:val="24"/>
        </w:rPr>
        <w:t>Given that manual annotation of 4,314 comments was not available, model evaluation relied exclusively on internal validity metrics and distributional analysis. Four complementary evaluation dimensions were assessed: (1) sentiment class distribution tested against uniformity via a chi-square goodness-of-fit test; (2) model confidence score distribution across classes; (3) clustering coherence measured by Silhouette Score and DBI; and (4) lexical separability, operationalized as the percentage of the class-specific vocabulary that is exclusive to each sentiment category.</w:t>
      </w:r>
    </w:p>
    <w:p>
      <w:r>
        <w:br w:type="page"/>
      </w:r>
    </w:p>
    <w:p>
      <w:pPr>
        <w:spacing w:before="480" w:after="120" w:line="480" w:lineRule="auto"/>
        <w:jc w:val="center"/>
      </w:pPr>
      <w:r>
        <w:rPr>
          <w:rFonts w:ascii="Times New Roman" w:hAnsi="Times New Roman"/>
          <w:b/>
          <w:i w:val="0"/>
          <w:sz w:val="24"/>
        </w:rPr>
        <w:t>Results</w:t>
      </w:r>
    </w:p>
    <w:p>
      <w:pPr>
        <w:spacing w:before="360" w:after="0" w:line="480" w:lineRule="auto"/>
        <w:jc w:val="left"/>
      </w:pPr>
      <w:r>
        <w:rPr>
          <w:rFonts w:ascii="Times New Roman" w:hAnsi="Times New Roman"/>
          <w:b/>
          <w:i w:val="0"/>
          <w:sz w:val="24"/>
        </w:rPr>
        <w:t>Metric 1: Sentiment Class Distribution</w:t>
      </w:r>
    </w:p>
    <w:p>
      <w:pPr>
        <w:spacing w:before="0" w:after="240" w:line="480" w:lineRule="auto"/>
        <w:ind w:firstLine="720"/>
        <w:jc w:val="both"/>
      </w:pPr>
      <w:r>
        <w:rPr>
          <w:rFonts w:ascii="Times New Roman" w:hAnsi="Times New Roman"/>
          <w:b w:val="0"/>
          <w:i w:val="0"/>
          <w:sz w:val="24"/>
        </w:rPr>
        <w:t>The sentiment classifier assigned labels to all 4,314 comments in the corpus. The class distribution was as follows: 1,793 positive (41.6%), 1,531 negative (35.5%), and 990 neutral (22.9%). A chi-square goodness-of-fit test against a uniform distribution yielded χ²(2) = 233.23, p &lt; .001, confirming that the observed distribution is statistically incompatible with random class assignment. The positive-to-negative ratio was 1.17, indicating a moderate positive lean within a substantially polarized audience.</w:t>
      </w:r>
    </w:p>
    <w:p>
      <w:pPr>
        <w:spacing w:before="360" w:after="0" w:line="480" w:lineRule="auto"/>
      </w:pPr>
      <w:r>
        <w:rPr>
          <w:rFonts w:ascii="Times New Roman" w:hAnsi="Times New Roman"/>
          <w:b/>
          <w:i w:val="0"/>
          <w:sz w:val="24"/>
        </w:rPr>
        <w:t>Table 2</w:t>
      </w:r>
    </w:p>
    <w:p>
      <w:pPr>
        <w:spacing w:before="0" w:after="0" w:line="480" w:lineRule="auto"/>
      </w:pPr>
      <w:r>
        <w:rPr>
          <w:rFonts w:ascii="Times New Roman" w:hAnsi="Times New Roman"/>
          <w:i/>
          <w:sz w:val="24"/>
        </w:rPr>
        <w:t>Sentiment Class Distribution and Chi-Square Uniformity Test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Sentiment Class</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Count (n)</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Proportion (%)</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Pos/Neg Ratio</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Positive</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1,793</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41.6%</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1.17</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Negative</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1,531</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35.5%</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Neutral</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990</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22.9%</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r>
      <w:tr>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Total</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4,314</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100.0%</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r>
    </w:tbl>
    <w:p>
      <w:pPr>
        <w:spacing w:before="40" w:after="360" w:line="480" w:lineRule="auto"/>
      </w:pPr>
      <w:r>
        <w:rPr>
          <w:rFonts w:ascii="Times New Roman" w:hAnsi="Times New Roman"/>
          <w:i/>
          <w:sz w:val="22"/>
        </w:rPr>
        <w:t xml:space="preserve">Note. </w:t>
      </w:r>
      <w:r>
        <w:rPr>
          <w:rFonts w:ascii="Times New Roman" w:hAnsi="Times New Roman"/>
          <w:sz w:val="22"/>
        </w:rPr>
        <w:t>χ²(2) = 233.23, p &lt; .001. The uniform distribution baseline assigns 33.3% to each class.</w:t>
      </w:r>
    </w:p>
    <w:p>
      <w:pPr>
        <w:jc w:val="center"/>
      </w:pPr>
      <w:r>
        <w:drawing>
          <wp:inline xmlns:a="http://schemas.openxmlformats.org/drawingml/2006/main" xmlns:pic="http://schemas.openxmlformats.org/drawingml/2006/picture">
            <wp:extent cx="5029200" cy="2236214"/>
            <wp:docPr id="3" name="Picture 3"/>
            <wp:cNvGraphicFramePr>
              <a:graphicFrameLocks noChangeAspect="1"/>
            </wp:cNvGraphicFramePr>
            <a:graphic>
              <a:graphicData uri="http://schemas.openxmlformats.org/drawingml/2006/picture">
                <pic:pic>
                  <pic:nvPicPr>
                    <pic:cNvPr id="0" name="fig1_sentiment_distribution.png"/>
                    <pic:cNvPicPr/>
                  </pic:nvPicPr>
                  <pic:blipFill>
                    <a:blip r:embed="rId11"/>
                    <a:stretch>
                      <a:fillRect/>
                    </a:stretch>
                  </pic:blipFill>
                  <pic:spPr>
                    <a:xfrm>
                      <a:off x="0" y="0"/>
                      <a:ext cx="5029200" cy="2236214"/>
                    </a:xfrm>
                    <a:prstGeom prst="rect"/>
                  </pic:spPr>
                </pic:pic>
              </a:graphicData>
            </a:graphic>
          </wp:inline>
        </w:drawing>
      </w:r>
    </w:p>
    <w:p>
      <w:pPr>
        <w:spacing w:before="120" w:after="360" w:line="480" w:lineRule="auto"/>
        <w:jc w:val="left"/>
      </w:pPr>
      <w:r>
        <w:rPr>
          <w:rFonts w:ascii="Times New Roman" w:hAnsi="Times New Roman"/>
          <w:b/>
          <w:i/>
          <w:sz w:val="24"/>
        </w:rPr>
        <w:t>Figure 3</w:t>
      </w:r>
      <w:r>
        <w:rPr>
          <w:rFonts w:ascii="Times New Roman" w:hAnsi="Times New Roman"/>
          <w:sz w:val="24"/>
        </w:rPr>
        <w:br/>
        <w:t>Sentiment class distribution displayed as absolute counts with percentages (left panel) and as a proportional pie chart (right panel). The positive class dominates, while neutral comments represent the smallest category, consistent with the politically engaged nature of the comment section.</w:t>
      </w:r>
    </w:p>
    <w:p>
      <w:pPr>
        <w:spacing w:before="360" w:after="0" w:line="480" w:lineRule="auto"/>
        <w:jc w:val="left"/>
      </w:pPr>
      <w:r>
        <w:rPr>
          <w:rFonts w:ascii="Times New Roman" w:hAnsi="Times New Roman"/>
          <w:b/>
          <w:i w:val="0"/>
          <w:sz w:val="24"/>
        </w:rPr>
        <w:t>Metric 2: Model Confidence Score</w:t>
      </w:r>
    </w:p>
    <w:p>
      <w:pPr>
        <w:spacing w:before="0" w:after="240" w:line="480" w:lineRule="auto"/>
        <w:ind w:firstLine="720"/>
        <w:jc w:val="both"/>
      </w:pPr>
      <w:r>
        <w:rPr>
          <w:rFonts w:ascii="Times New Roman" w:hAnsi="Times New Roman"/>
          <w:b w:val="0"/>
          <w:i w:val="0"/>
          <w:sz w:val="24"/>
        </w:rPr>
        <w:t>The model confidence score — defined as the softmax probability assigned to the predicted class — provides an internal measure of prediction certainty. Globally, the mean confidence was M = 0.782 (Mdn = 0.830), with 54.2% of predictions exceeding the high-confidence threshold of 0.80 and only 7.1% falling below the uncertainty threshold of 0.50 (corresponding to chance level for a two-class decision). Confidence varied substantially across classes, as reported in Table 3.</w:t>
      </w:r>
    </w:p>
    <w:p>
      <w:pPr>
        <w:spacing w:before="360" w:after="0" w:line="480" w:lineRule="auto"/>
      </w:pPr>
      <w:r>
        <w:rPr>
          <w:rFonts w:ascii="Times New Roman" w:hAnsi="Times New Roman"/>
          <w:b/>
          <w:i w:val="0"/>
          <w:sz w:val="24"/>
        </w:rPr>
        <w:t>Table 3</w:t>
      </w:r>
    </w:p>
    <w:p>
      <w:pPr>
        <w:spacing w:before="0" w:after="0" w:line="480" w:lineRule="auto"/>
      </w:pPr>
      <w:r>
        <w:rPr>
          <w:rFonts w:ascii="Times New Roman" w:hAnsi="Times New Roman"/>
          <w:i/>
          <w:sz w:val="24"/>
        </w:rPr>
        <w:t>Descriptive Statistics of Model Confidence Score by Sentiment Class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Class</w:t>
            </w:r>
          </w:p>
        </w:tc>
        <w:tc>
          <w:tcPr>
            <w:tcW w:type="dxa" w:w="1337"/>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Mean</w:t>
            </w:r>
          </w:p>
        </w:tc>
        <w:tc>
          <w:tcPr>
            <w:tcW w:type="dxa" w:w="1337"/>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Median</w:t>
            </w:r>
          </w:p>
        </w:tc>
        <w:tc>
          <w:tcPr>
            <w:tcW w:type="dxa" w:w="1337"/>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P25</w:t>
            </w:r>
          </w:p>
        </w:tc>
        <w:tc>
          <w:tcPr>
            <w:tcW w:type="dxa" w:w="1337"/>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P75</w:t>
            </w:r>
          </w:p>
        </w:tc>
        <w:tc>
          <w:tcPr>
            <w:tcW w:type="dxa" w:w="1337"/>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 0.80 (%)</w:t>
            </w:r>
          </w:p>
        </w:tc>
        <w:tc>
          <w:tcPr>
            <w:tcW w:type="dxa" w:w="1337"/>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&lt; 0.50 (%)</w:t>
            </w:r>
          </w:p>
        </w:tc>
      </w:tr>
      <w:tr>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Positive</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0.830</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0.898</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0.733</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0.955</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67.7%</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4.4%</w:t>
            </w:r>
          </w:p>
        </w:tc>
      </w:tr>
      <w:tr>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Neutral</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0.624</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0.615</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0.525</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0.703</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 xml:space="preserve"> 9.3%</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16.9%</w:t>
            </w:r>
          </w:p>
        </w:tc>
      </w:tr>
      <w:tr>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Negative</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0.829</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0.886</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0.735</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0.947</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67.5%</w:t>
            </w:r>
          </w:p>
        </w:tc>
        <w:tc>
          <w:tcPr>
            <w:tcW w:type="dxa" w:w="1337"/>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3.9%</w:t>
            </w:r>
          </w:p>
        </w:tc>
      </w:tr>
      <w:tr>
        <w:tc>
          <w:tcPr>
            <w:tcW w:type="dxa" w:w="1337"/>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Global</w:t>
            </w:r>
          </w:p>
        </w:tc>
        <w:tc>
          <w:tcPr>
            <w:tcW w:type="dxa" w:w="1337"/>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0.782</w:t>
            </w:r>
          </w:p>
        </w:tc>
        <w:tc>
          <w:tcPr>
            <w:tcW w:type="dxa" w:w="1337"/>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0.830</w:t>
            </w:r>
          </w:p>
        </w:tc>
        <w:tc>
          <w:tcPr>
            <w:tcW w:type="dxa" w:w="1337"/>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c>
          <w:tcPr>
            <w:tcW w:type="dxa" w:w="1337"/>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c>
          <w:tcPr>
            <w:tcW w:type="dxa" w:w="1337"/>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54.2%</w:t>
            </w:r>
          </w:p>
        </w:tc>
        <w:tc>
          <w:tcPr>
            <w:tcW w:type="dxa" w:w="1337"/>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7.1%</w:t>
            </w:r>
          </w:p>
        </w:tc>
      </w:tr>
    </w:tbl>
    <w:p>
      <w:pPr>
        <w:spacing w:before="40" w:after="360" w:line="480" w:lineRule="auto"/>
      </w:pPr>
      <w:r>
        <w:rPr>
          <w:rFonts w:ascii="Times New Roman" w:hAnsi="Times New Roman"/>
          <w:i/>
          <w:sz w:val="22"/>
        </w:rPr>
        <w:t xml:space="preserve">Note. </w:t>
      </w:r>
      <w:r>
        <w:rPr>
          <w:rFonts w:ascii="Times New Roman" w:hAnsi="Times New Roman"/>
          <w:sz w:val="22"/>
        </w:rPr>
        <w:t>P25 and P75 refer to the 25th and 75th percentiles, respectively. High confidence threshold: ≥ 0.80. Uncertainty threshold: &lt; 0.50.</w:t>
      </w:r>
    </w:p>
    <w:p>
      <w:pPr>
        <w:jc w:val="center"/>
      </w:pPr>
      <w:r>
        <w:drawing>
          <wp:inline xmlns:a="http://schemas.openxmlformats.org/drawingml/2006/main" xmlns:pic="http://schemas.openxmlformats.org/drawingml/2006/picture">
            <wp:extent cx="5029200" cy="1660521"/>
            <wp:docPr id="4" name="Picture 4"/>
            <wp:cNvGraphicFramePr>
              <a:graphicFrameLocks noChangeAspect="1"/>
            </wp:cNvGraphicFramePr>
            <a:graphic>
              <a:graphicData uri="http://schemas.openxmlformats.org/drawingml/2006/picture">
                <pic:pic>
                  <pic:nvPicPr>
                    <pic:cNvPr id="0" name="fig5_confidence.png"/>
                    <pic:cNvPicPr/>
                  </pic:nvPicPr>
                  <pic:blipFill>
                    <a:blip r:embed="rId12"/>
                    <a:stretch>
                      <a:fillRect/>
                    </a:stretch>
                  </pic:blipFill>
                  <pic:spPr>
                    <a:xfrm>
                      <a:off x="0" y="0"/>
                      <a:ext cx="5029200" cy="1660521"/>
                    </a:xfrm>
                    <a:prstGeom prst="rect"/>
                  </pic:spPr>
                </pic:pic>
              </a:graphicData>
            </a:graphic>
          </wp:inline>
        </w:drawing>
      </w:r>
    </w:p>
    <w:p>
      <w:pPr>
        <w:spacing w:before="120" w:after="360" w:line="480" w:lineRule="auto"/>
        <w:jc w:val="left"/>
      </w:pPr>
      <w:r>
        <w:rPr>
          <w:rFonts w:ascii="Times New Roman" w:hAnsi="Times New Roman"/>
          <w:b/>
          <w:i/>
          <w:sz w:val="24"/>
        </w:rPr>
        <w:t>Figure 4</w:t>
      </w:r>
      <w:r>
        <w:rPr>
          <w:rFonts w:ascii="Times New Roman" w:hAnsi="Times New Roman"/>
          <w:sz w:val="24"/>
        </w:rPr>
        <w:br/>
        <w:t>Confidence score distributions stratified by sentiment class. Positive and negative classes exhibit right-skewed distributions with most mass concentrated above 0.80, indicating decisive classifications. The neutral class presents a more symmetric, lower-confidence distribution, consistent with the inherent ambiguity of non-polar statements.</w:t>
      </w:r>
    </w:p>
    <w:p>
      <w:pPr>
        <w:spacing w:before="360" w:after="0" w:line="480" w:lineRule="auto"/>
        <w:jc w:val="left"/>
      </w:pPr>
      <w:r>
        <w:rPr>
          <w:rFonts w:ascii="Times New Roman" w:hAnsi="Times New Roman"/>
          <w:b/>
          <w:i w:val="0"/>
          <w:sz w:val="24"/>
        </w:rPr>
        <w:t>Metric 3: Clustering Coherence</w:t>
      </w:r>
    </w:p>
    <w:p>
      <w:pPr>
        <w:spacing w:before="0" w:after="240" w:line="480" w:lineRule="auto"/>
        <w:ind w:firstLine="720"/>
        <w:jc w:val="both"/>
      </w:pPr>
      <w:r>
        <w:rPr>
          <w:rFonts w:ascii="Times New Roman" w:hAnsi="Times New Roman"/>
          <w:b w:val="0"/>
          <w:i w:val="0"/>
          <w:sz w:val="24"/>
        </w:rPr>
        <w:t>The K-Means clustering solution with K = 8 yielded a Silhouette Score of 0.0334 and a Davies-Bouldin Index of 4.86. While these values fall in the lower range typically observed for text clustering — a well-documented consequence of the high-dimensionality and lexical sparsity of bag-of-words representations — the cluster profiles reveal clear thematic differentiation when inspected qualitatively (see Table 4). The PCA projection onto two principal components captured 3.6% of total variance (PC1 = 2.1%, PC2 = 1.5%), reflecting the inherent high-dimensional nature of the TF-IDF feature space.</w:t>
      </w:r>
    </w:p>
    <w:p>
      <w:pPr>
        <w:spacing w:before="360" w:after="0" w:line="480" w:lineRule="auto"/>
      </w:pPr>
      <w:r>
        <w:rPr>
          <w:rFonts w:ascii="Times New Roman" w:hAnsi="Times New Roman"/>
          <w:b/>
          <w:i w:val="0"/>
          <w:sz w:val="24"/>
        </w:rPr>
        <w:t>Table 4</w:t>
      </w:r>
    </w:p>
    <w:p>
      <w:pPr>
        <w:spacing w:before="0" w:after="0" w:line="480" w:lineRule="auto"/>
      </w:pPr>
      <w:r>
        <w:rPr>
          <w:rFonts w:ascii="Times New Roman" w:hAnsi="Times New Roman"/>
          <w:i/>
          <w:sz w:val="24"/>
        </w:rPr>
        <w:t>Thematic Cluster Profiles: Size, Representative Keywords, and Dominant Sentiment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Cluster</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n</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Top Keywords</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Dom. Sentiment (%)</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0 — General discussion</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2,240</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salvador, país, bien, gente, seguridad</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Negative (42%)</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 — Gratitude / welcome</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272</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gracias, gracias juan, visitar</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Positive (86%)</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 — Bicentennial / history</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88</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independencia, 1821, 200 años</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Neutral (61%)</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3 — Cost of security / peace</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248</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precio, paz, tranquilidad, libertad</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Negative (41%)</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4 — Video quality praise</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220</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buen video, excelente video</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Positive (71%)</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5 — Welcomes / greetings</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347</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bienvenido, saludos, planeta juan</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Positive (66%)</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6 — Bukele / political</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621</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bukele, presidente, colombia, necesitamos</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Positive (41%) / Neg (33%)</w:t>
            </w:r>
          </w:p>
        </w:tc>
      </w:tr>
      <w:tr>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7 — Human rights discourse</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226</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derechos humanos, criminales, delincuentes</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Negative (81%)</w:t>
            </w:r>
          </w:p>
        </w:tc>
      </w:tr>
    </w:tbl>
    <w:p>
      <w:pPr>
        <w:spacing w:before="40" w:after="360" w:line="480" w:lineRule="auto"/>
      </w:pPr>
      <w:r>
        <w:rPr>
          <w:rFonts w:ascii="Times New Roman" w:hAnsi="Times New Roman"/>
          <w:i/>
          <w:sz w:val="22"/>
        </w:rPr>
        <w:t xml:space="preserve">Note. </w:t>
      </w:r>
      <w:r>
        <w:rPr>
          <w:rFonts w:ascii="Times New Roman" w:hAnsi="Times New Roman"/>
          <w:sz w:val="22"/>
        </w:rPr>
        <w:t>Keywords are derived from the top TF-IDF centroids of each K-Means cluster. Dominant sentiment is the most frequent class in each cluster.</w:t>
      </w:r>
    </w:p>
    <w:p>
      <w:pPr>
        <w:jc w:val="center"/>
      </w:pPr>
      <w:r>
        <w:drawing>
          <wp:inline xmlns:a="http://schemas.openxmlformats.org/drawingml/2006/main" xmlns:pic="http://schemas.openxmlformats.org/drawingml/2006/picture">
            <wp:extent cx="5029200" cy="1660521"/>
            <wp:docPr id="5" name="Picture 5"/>
            <wp:cNvGraphicFramePr>
              <a:graphicFrameLocks noChangeAspect="1"/>
            </wp:cNvGraphicFramePr>
            <a:graphic>
              <a:graphicData uri="http://schemas.openxmlformats.org/drawingml/2006/picture">
                <pic:pic>
                  <pic:nvPicPr>
                    <pic:cNvPr id="0" name="fig8_k_selection.png"/>
                    <pic:cNvPicPr/>
                  </pic:nvPicPr>
                  <pic:blipFill>
                    <a:blip r:embed="rId13"/>
                    <a:stretch>
                      <a:fillRect/>
                    </a:stretch>
                  </pic:blipFill>
                  <pic:spPr>
                    <a:xfrm>
                      <a:off x="0" y="0"/>
                      <a:ext cx="5029200" cy="1660521"/>
                    </a:xfrm>
                    <a:prstGeom prst="rect"/>
                  </pic:spPr>
                </pic:pic>
              </a:graphicData>
            </a:graphic>
          </wp:inline>
        </w:drawing>
      </w:r>
    </w:p>
    <w:p>
      <w:pPr>
        <w:spacing w:before="120" w:after="360" w:line="480" w:lineRule="auto"/>
        <w:jc w:val="left"/>
      </w:pPr>
      <w:r>
        <w:rPr>
          <w:rFonts w:ascii="Times New Roman" w:hAnsi="Times New Roman"/>
          <w:b/>
          <w:i/>
          <w:sz w:val="24"/>
        </w:rPr>
        <w:t>Figure 5</w:t>
      </w:r>
      <w:r>
        <w:rPr>
          <w:rFonts w:ascii="Times New Roman" w:hAnsi="Times New Roman"/>
          <w:sz w:val="24"/>
        </w:rPr>
        <w:br/>
        <w:t>K-selection diagnostic plots. Left: elbow curve of inertia (within-cluster SSE). Center: Silhouette Score across K = 2 to 8, with the optimal K = 8 marked. Right: Davies-Bouldin Index, where lower values indicate better cluster separation.</w:t>
      </w:r>
    </w:p>
    <w:p>
      <w:pPr>
        <w:jc w:val="center"/>
      </w:pPr>
      <w:r>
        <w:drawing>
          <wp:inline xmlns:a="http://schemas.openxmlformats.org/drawingml/2006/main" xmlns:pic="http://schemas.openxmlformats.org/drawingml/2006/picture">
            <wp:extent cx="5029200" cy="2327451"/>
            <wp:docPr id="6" name="Picture 6"/>
            <wp:cNvGraphicFramePr>
              <a:graphicFrameLocks noChangeAspect="1"/>
            </wp:cNvGraphicFramePr>
            <a:graphic>
              <a:graphicData uri="http://schemas.openxmlformats.org/drawingml/2006/picture">
                <pic:pic>
                  <pic:nvPicPr>
                    <pic:cNvPr id="0" name="fig6_cluster_pca.png"/>
                    <pic:cNvPicPr/>
                  </pic:nvPicPr>
                  <pic:blipFill>
                    <a:blip r:embed="rId14"/>
                    <a:stretch>
                      <a:fillRect/>
                    </a:stretch>
                  </pic:blipFill>
                  <pic:spPr>
                    <a:xfrm>
                      <a:off x="0" y="0"/>
                      <a:ext cx="5029200" cy="2327451"/>
                    </a:xfrm>
                    <a:prstGeom prst="rect"/>
                  </pic:spPr>
                </pic:pic>
              </a:graphicData>
            </a:graphic>
          </wp:inline>
        </w:drawing>
      </w:r>
    </w:p>
    <w:p>
      <w:pPr>
        <w:spacing w:before="120" w:after="360" w:line="480" w:lineRule="auto"/>
        <w:jc w:val="left"/>
      </w:pPr>
      <w:r>
        <w:rPr>
          <w:rFonts w:ascii="Times New Roman" w:hAnsi="Times New Roman"/>
          <w:b/>
          <w:i/>
          <w:sz w:val="24"/>
        </w:rPr>
        <w:t>Figure 6</w:t>
      </w:r>
      <w:r>
        <w:rPr>
          <w:rFonts w:ascii="Times New Roman" w:hAnsi="Times New Roman"/>
          <w:sz w:val="24"/>
        </w:rPr>
        <w:br/>
        <w:t>PCA two-dimensional projection of the TF-IDF document space. Left panel: points colored by K-Means cluster assignment (K = 8) with centroids marked as black crosses. Right panel: same projection colored by predicted sentiment class. The substantial overlap reflects the high dimensionality and semantic continuity of the text feature space.</w:t>
      </w:r>
    </w:p>
    <w:p>
      <w:pPr>
        <w:spacing w:before="360" w:after="0" w:line="480" w:lineRule="auto"/>
        <w:jc w:val="left"/>
      </w:pPr>
      <w:r>
        <w:rPr>
          <w:rFonts w:ascii="Times New Roman" w:hAnsi="Times New Roman"/>
          <w:b/>
          <w:i w:val="0"/>
          <w:sz w:val="24"/>
        </w:rPr>
        <w:t>Metric 4: Lexical Separability</w:t>
      </w:r>
    </w:p>
    <w:p>
      <w:pPr>
        <w:spacing w:before="0" w:after="240" w:line="480" w:lineRule="auto"/>
        <w:ind w:firstLine="720"/>
        <w:jc w:val="both"/>
      </w:pPr>
      <w:r>
        <w:rPr>
          <w:rFonts w:ascii="Times New Roman" w:hAnsi="Times New Roman"/>
          <w:b w:val="0"/>
          <w:i w:val="0"/>
          <w:sz w:val="24"/>
        </w:rPr>
        <w:t>To assess whether the sentiment classifier assigns each class a distinctive vocabulary, lexical separability was quantified as the proportion of class-specific terms that do not appear in either of the two other classes. The negative class exhibited the highest separability (59.7% exclusive vocabulary, 5,425 of 9,085 total terms), followed by the positive class (40.9%, 2,120 of 5,185 terms) and the neutral class (33.3%, 1,352 of 4,056 terms). Analysis of the Top-50 highest-frequency terms per class revealed that 28 terms are shared across all three sentiment categories, indicating that topic-related keywords such as bukele, salvador, and país serve as common contextual anchors regardless of emotional valence.</w:t>
      </w:r>
    </w:p>
    <w:p>
      <w:pPr>
        <w:spacing w:before="360" w:after="0" w:line="480" w:lineRule="auto"/>
      </w:pPr>
      <w:r>
        <w:rPr>
          <w:rFonts w:ascii="Times New Roman" w:hAnsi="Times New Roman"/>
          <w:b/>
          <w:i w:val="0"/>
          <w:sz w:val="24"/>
        </w:rPr>
        <w:t>Table 5</w:t>
      </w:r>
    </w:p>
    <w:p>
      <w:pPr>
        <w:spacing w:before="0" w:after="0" w:line="480" w:lineRule="auto"/>
      </w:pPr>
      <w:r>
        <w:rPr>
          <w:rFonts w:ascii="Times New Roman" w:hAnsi="Times New Roman"/>
          <w:i/>
          <w:sz w:val="24"/>
        </w:rPr>
        <w:t>Lexical Separability by Sentiment Class</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Sentiment Class</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Total Vocabulary</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Exclusive Terms</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Exclusivity (%)</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Positive</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5,185</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2,120</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40.9%</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Neutral</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4,056</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1,352</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33.3%</w:t>
            </w:r>
          </w:p>
        </w:tc>
      </w:tr>
      <w:tr>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Negative</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9,085</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5,425</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59.7%</w:t>
            </w:r>
          </w:p>
        </w:tc>
      </w:tr>
    </w:tbl>
    <w:p>
      <w:pPr>
        <w:spacing w:before="40" w:after="360" w:line="480" w:lineRule="auto"/>
      </w:pPr>
      <w:r>
        <w:rPr>
          <w:rFonts w:ascii="Times New Roman" w:hAnsi="Times New Roman"/>
          <w:i/>
          <w:sz w:val="22"/>
        </w:rPr>
        <w:t xml:space="preserve">Note. </w:t>
      </w:r>
      <w:r>
        <w:rPr>
          <w:rFonts w:ascii="Times New Roman" w:hAnsi="Times New Roman"/>
          <w:sz w:val="22"/>
        </w:rPr>
        <w:t>Exclusive terms are those appearing in the vocabulary of the focal class but absent from the vocabularies of both other classes. Total union vocabulary: 15,384 terms.</w:t>
      </w:r>
    </w:p>
    <w:p>
      <w:pPr>
        <w:jc w:val="center"/>
      </w:pPr>
      <w:r>
        <w:drawing>
          <wp:inline xmlns:a="http://schemas.openxmlformats.org/drawingml/2006/main" xmlns:pic="http://schemas.openxmlformats.org/drawingml/2006/picture">
            <wp:extent cx="5029200" cy="1932569"/>
            <wp:docPr id="7" name="Picture 7"/>
            <wp:cNvGraphicFramePr>
              <a:graphicFrameLocks noChangeAspect="1"/>
            </wp:cNvGraphicFramePr>
            <a:graphic>
              <a:graphicData uri="http://schemas.openxmlformats.org/drawingml/2006/picture">
                <pic:pic>
                  <pic:nvPicPr>
                    <pic:cNvPr id="0" name="fig7_tfidf_terms.png"/>
                    <pic:cNvPicPr/>
                  </pic:nvPicPr>
                  <pic:blipFill>
                    <a:blip r:embed="rId15"/>
                    <a:stretch>
                      <a:fillRect/>
                    </a:stretch>
                  </pic:blipFill>
                  <pic:spPr>
                    <a:xfrm>
                      <a:off x="0" y="0"/>
                      <a:ext cx="5029200" cy="1932569"/>
                    </a:xfrm>
                    <a:prstGeom prst="rect"/>
                  </pic:spPr>
                </pic:pic>
              </a:graphicData>
            </a:graphic>
          </wp:inline>
        </w:drawing>
      </w:r>
    </w:p>
    <w:p>
      <w:pPr>
        <w:spacing w:before="120" w:after="360" w:line="480" w:lineRule="auto"/>
        <w:jc w:val="left"/>
      </w:pPr>
      <w:r>
        <w:rPr>
          <w:rFonts w:ascii="Times New Roman" w:hAnsi="Times New Roman"/>
          <w:b/>
          <w:i/>
          <w:sz w:val="24"/>
        </w:rPr>
        <w:t>Figure 7</w:t>
      </w:r>
      <w:r>
        <w:rPr>
          <w:rFonts w:ascii="Times New Roman" w:hAnsi="Times New Roman"/>
          <w:sz w:val="24"/>
        </w:rPr>
        <w:br/>
        <w:t>Top-15 TF-IDF discriminant terms for each sentiment class. Green bars represent positive-class terms; gray bars represent neutral-class terms; red bars represent negative-class terms. TF-IDF scores reflect mean term weight within the class document subset, emphasizing class-specific rather than globally frequent vocabulary.</w:t>
      </w:r>
    </w:p>
    <w:p>
      <w:pPr>
        <w:spacing w:before="360" w:after="0" w:line="480" w:lineRule="auto"/>
        <w:jc w:val="left"/>
      </w:pPr>
      <w:r>
        <w:rPr>
          <w:rFonts w:ascii="Times New Roman" w:hAnsi="Times New Roman"/>
          <w:b/>
          <w:i w:val="0"/>
          <w:sz w:val="24"/>
        </w:rPr>
        <w:t>Geographic Analysis</w:t>
      </w:r>
    </w:p>
    <w:p>
      <w:pPr>
        <w:spacing w:before="0" w:after="240" w:line="480" w:lineRule="auto"/>
        <w:ind w:firstLine="720"/>
        <w:jc w:val="both"/>
      </w:pPr>
      <w:r>
        <w:rPr>
          <w:rFonts w:ascii="Times New Roman" w:hAnsi="Times New Roman"/>
          <w:b w:val="0"/>
          <w:i w:val="0"/>
          <w:sz w:val="24"/>
        </w:rPr>
        <w:t>Geographic origin was successfully detected in 1,226 of 4,314 comments (28.4%). The remaining 71.6% were labeled as having no detectable location, which is consistent with the informal register of YouTube comments, in which users rarely self-identify their origin. Among comments with a detected location, El Salvador was the most represented entity (n = 653, 53.3% of geo-tagged comments), confirming that the video's primary audience consists of Salvadoran nationals or diaspora. Colombia ranked second (n = 136, 11.1%), followed by Venezuela (n = 28, 2.3%) and Argentina (n = 25, 2.0%).</w:t>
      </w:r>
    </w:p>
    <w:p>
      <w:pPr>
        <w:spacing w:before="360" w:after="0" w:line="480" w:lineRule="auto"/>
      </w:pPr>
      <w:r>
        <w:rPr>
          <w:rFonts w:ascii="Times New Roman" w:hAnsi="Times New Roman"/>
          <w:b/>
          <w:i w:val="0"/>
          <w:sz w:val="24"/>
        </w:rPr>
        <w:t>Table 6</w:t>
      </w:r>
    </w:p>
    <w:p>
      <w:pPr>
        <w:spacing w:before="0" w:after="0" w:line="480" w:lineRule="auto"/>
      </w:pPr>
      <w:r>
        <w:rPr>
          <w:rFonts w:ascii="Times New Roman" w:hAnsi="Times New Roman"/>
          <w:i/>
          <w:sz w:val="24"/>
        </w:rPr>
        <w:t>Top Geographic Locations Detected in YouTube Comments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Location</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Count (n)</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 of Geo-Tagged</w:t>
            </w:r>
          </w:p>
        </w:tc>
        <w:tc>
          <w:tcPr>
            <w:tcW w:type="dxa" w:w="2340"/>
            <w:tcBorders>
              <w:top w:val="singl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b/>
                <w:sz w:val="22"/>
              </w:rPr>
              <w:t>Dominant Sentiment</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El Salvador</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653</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53.3%</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Positive (approx. 42%)</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Colombia</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136</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11.1%</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Mixed</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Venezuela</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 xml:space="preserve"> 28</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2.3%</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Mixed</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Argentina</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 xml:space="preserve"> 25</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2.0%</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Mixed</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Colombia / El Salvador</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22</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1.8%</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Mixed</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La Paz</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 xml:space="preserve"> 13</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1.1%</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Guatemala</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 xml:space="preserve"> 13</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1.1%</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Honduras</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 xml:space="preserve"> 12</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1.0%</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r>
      <w:tr>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Nicaragua</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 xml:space="preserve"> 12</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1.0%</w:t>
            </w:r>
          </w:p>
        </w:tc>
        <w:tc>
          <w:tcPr>
            <w:tcW w:type="dxa" w:w="2340"/>
            <w:tcBorders>
              <w:top w:val="none" w:sz="4" w:space="0" w:color="000000"/>
              <w:left w:val="none" w:sz="4" w:space="0" w:color="000000"/>
              <w:bottom w:val="non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r>
      <w:tr>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Other / undetected</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3,088</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c>
          <w:tcPr>
            <w:tcW w:type="dxa" w:w="2340"/>
            <w:tcBorders>
              <w:top w:val="none" w:sz="4" w:space="0" w:color="000000"/>
              <w:left w:val="none" w:sz="4" w:space="0" w:color="000000"/>
              <w:bottom w:val="single" w:sz="4" w:space="0" w:color="000000"/>
              <w:right w:val="none" w:sz="4" w:space="0" w:color="000000"/>
              <w:insideH w:val="none" w:sz="4" w:space="0" w:color="000000"/>
              <w:insideV w:val="none" w:sz="4" w:space="0" w:color="000000"/>
            </w:tcBorders>
          </w:tcPr>
          <w:p>
            <w:pPr>
              <w:jc w:val="center"/>
            </w:pPr>
            <w:r>
              <w:rPr>
                <w:rFonts w:ascii="Times New Roman" w:hAnsi="Times New Roman"/>
                <w:sz w:val="22"/>
              </w:rPr>
              <w:t>—</w:t>
            </w:r>
          </w:p>
        </w:tc>
      </w:tr>
    </w:tbl>
    <w:p>
      <w:pPr>
        <w:spacing w:before="40" w:after="360" w:line="480" w:lineRule="auto"/>
      </w:pPr>
      <w:r>
        <w:rPr>
          <w:rFonts w:ascii="Times New Roman" w:hAnsi="Times New Roman"/>
          <w:i/>
          <w:sz w:val="22"/>
        </w:rPr>
        <w:t xml:space="preserve">Note. </w:t>
      </w:r>
      <w:r>
        <w:rPr>
          <w:rFonts w:ascii="Times New Roman" w:hAnsi="Times New Roman"/>
          <w:sz w:val="22"/>
        </w:rPr>
        <w:t>Location detection based on GeoText with custom suppression and normalization. Percentages of geo-tagged comments computed over the 1,226 records with a detected location.</w:t>
      </w:r>
    </w:p>
    <w:p>
      <w:pPr>
        <w:jc w:val="center"/>
      </w:pPr>
      <w:r>
        <w:drawing>
          <wp:inline xmlns:a="http://schemas.openxmlformats.org/drawingml/2006/main" xmlns:pic="http://schemas.openxmlformats.org/drawingml/2006/picture">
            <wp:extent cx="5029200" cy="2176596"/>
            <wp:docPr id="8" name="Picture 8"/>
            <wp:cNvGraphicFramePr>
              <a:graphicFrameLocks noChangeAspect="1"/>
            </wp:cNvGraphicFramePr>
            <a:graphic>
              <a:graphicData uri="http://schemas.openxmlformats.org/drawingml/2006/picture">
                <pic:pic>
                  <pic:nvPicPr>
                    <pic:cNvPr id="0" name="fig4_geographic.png"/>
                    <pic:cNvPicPr/>
                  </pic:nvPicPr>
                  <pic:blipFill>
                    <a:blip r:embed="rId16"/>
                    <a:stretch>
                      <a:fillRect/>
                    </a:stretch>
                  </pic:blipFill>
                  <pic:spPr>
                    <a:xfrm>
                      <a:off x="0" y="0"/>
                      <a:ext cx="5029200" cy="2176596"/>
                    </a:xfrm>
                    <a:prstGeom prst="rect"/>
                  </pic:spPr>
                </pic:pic>
              </a:graphicData>
            </a:graphic>
          </wp:inline>
        </w:drawing>
      </w:r>
    </w:p>
    <w:p>
      <w:pPr>
        <w:spacing w:before="120" w:after="360" w:line="480" w:lineRule="auto"/>
        <w:jc w:val="left"/>
      </w:pPr>
      <w:r>
        <w:rPr>
          <w:rFonts w:ascii="Times New Roman" w:hAnsi="Times New Roman"/>
          <w:b/>
          <w:i/>
          <w:sz w:val="24"/>
        </w:rPr>
        <w:t>Figure 8</w:t>
      </w:r>
      <w:r>
        <w:rPr>
          <w:rFonts w:ascii="Times New Roman" w:hAnsi="Times New Roman"/>
          <w:sz w:val="24"/>
        </w:rPr>
        <w:br/>
        <w:t>Geographic distribution of detected comment origins. Left: horizontal bar chart of the top 15 identified locations. Right: pie chart of the top 7 locations plus a combined 'Other' category.</w:t>
      </w:r>
    </w:p>
    <w:p>
      <w:pPr>
        <w:spacing w:before="360" w:after="0" w:line="480" w:lineRule="auto"/>
        <w:jc w:val="left"/>
      </w:pPr>
      <w:r>
        <w:rPr>
          <w:rFonts w:ascii="Times New Roman" w:hAnsi="Times New Roman"/>
          <w:b/>
          <w:i w:val="0"/>
          <w:sz w:val="24"/>
        </w:rPr>
        <w:t>Temporal Analysis and Engagement</w:t>
      </w:r>
    </w:p>
    <w:p>
      <w:pPr>
        <w:spacing w:before="0" w:after="240" w:line="480" w:lineRule="auto"/>
        <w:ind w:firstLine="720"/>
        <w:jc w:val="both"/>
      </w:pPr>
      <w:r>
        <w:rPr>
          <w:rFonts w:ascii="Times New Roman" w:hAnsi="Times New Roman"/>
          <w:b w:val="0"/>
          <w:i w:val="0"/>
          <w:sz w:val="24"/>
        </w:rPr>
        <w:t>Comment volume peaked within the first days following video publication, reflecting the typical decay pattern of YouTube engagement (Xu et al., 2014). Analysis of the likes field revealed a highly right-skewed distribution, with a median of 0 likes and a maximum of 2,436, consistent with power-law engagement dynamics in online video platforms. Positive comments accumulated disproportionately more likes (M = 7.71 per comment) compared to negative (M = 2.40) and neutral (M = 1.79) comments, suggesting that the audience actively endorsed supportive commentary through the like mechanism.</w:t>
      </w:r>
    </w:p>
    <w:p>
      <w:pPr>
        <w:jc w:val="center"/>
      </w:pPr>
      <w:r>
        <w:drawing>
          <wp:inline xmlns:a="http://schemas.openxmlformats.org/drawingml/2006/main" xmlns:pic="http://schemas.openxmlformats.org/drawingml/2006/picture">
            <wp:extent cx="5029200" cy="3077335"/>
            <wp:docPr id="9" name="Picture 9"/>
            <wp:cNvGraphicFramePr>
              <a:graphicFrameLocks noChangeAspect="1"/>
            </wp:cNvGraphicFramePr>
            <a:graphic>
              <a:graphicData uri="http://schemas.openxmlformats.org/drawingml/2006/picture">
                <pic:pic>
                  <pic:nvPicPr>
                    <pic:cNvPr id="0" name="fig2_temporal.png"/>
                    <pic:cNvPicPr/>
                  </pic:nvPicPr>
                  <pic:blipFill>
                    <a:blip r:embed="rId17"/>
                    <a:stretch>
                      <a:fillRect/>
                    </a:stretch>
                  </pic:blipFill>
                  <pic:spPr>
                    <a:xfrm>
                      <a:off x="0" y="0"/>
                      <a:ext cx="5029200" cy="3077335"/>
                    </a:xfrm>
                    <a:prstGeom prst="rect"/>
                  </pic:spPr>
                </pic:pic>
              </a:graphicData>
            </a:graphic>
          </wp:inline>
        </w:drawing>
      </w:r>
    </w:p>
    <w:p>
      <w:pPr>
        <w:spacing w:before="120" w:after="360" w:line="480" w:lineRule="auto"/>
        <w:jc w:val="left"/>
      </w:pPr>
      <w:r>
        <w:rPr>
          <w:rFonts w:ascii="Times New Roman" w:hAnsi="Times New Roman"/>
          <w:b/>
          <w:i/>
          <w:sz w:val="24"/>
        </w:rPr>
        <w:t>Figure 9</w:t>
      </w:r>
      <w:r>
        <w:rPr>
          <w:rFonts w:ascii="Times New Roman" w:hAnsi="Times New Roman"/>
          <w:sz w:val="24"/>
        </w:rPr>
        <w:br/>
        <w:t>Temporal dynamics of the comment corpus. Upper panel: total daily comment volume with the peak activity date annotated. Lower panel: stacked area chart showing the sentiment composition over the observation window.</w:t>
      </w:r>
    </w:p>
    <w:p>
      <w:pPr>
        <w:jc w:val="center"/>
      </w:pPr>
      <w:r>
        <w:drawing>
          <wp:inline xmlns:a="http://schemas.openxmlformats.org/drawingml/2006/main" xmlns:pic="http://schemas.openxmlformats.org/drawingml/2006/picture">
            <wp:extent cx="5029200" cy="2286000"/>
            <wp:docPr id="10" name="Picture 10"/>
            <wp:cNvGraphicFramePr>
              <a:graphicFrameLocks noChangeAspect="1"/>
            </wp:cNvGraphicFramePr>
            <a:graphic>
              <a:graphicData uri="http://schemas.openxmlformats.org/drawingml/2006/picture">
                <pic:pic>
                  <pic:nvPicPr>
                    <pic:cNvPr id="0" name="fig3_engagement.png"/>
                    <pic:cNvPicPr/>
                  </pic:nvPicPr>
                  <pic:blipFill>
                    <a:blip r:embed="rId18"/>
                    <a:stretch>
                      <a:fillRect/>
                    </a:stretch>
                  </pic:blipFill>
                  <pic:spPr>
                    <a:xfrm>
                      <a:off x="0" y="0"/>
                      <a:ext cx="5029200" cy="2286000"/>
                    </a:xfrm>
                    <a:prstGeom prst="rect"/>
                  </pic:spPr>
                </pic:pic>
              </a:graphicData>
            </a:graphic>
          </wp:inline>
        </w:drawing>
      </w:r>
    </w:p>
    <w:p>
      <w:pPr>
        <w:spacing w:before="120" w:after="360" w:line="480" w:lineRule="auto"/>
        <w:jc w:val="left"/>
      </w:pPr>
      <w:r>
        <w:rPr>
          <w:rFonts w:ascii="Times New Roman" w:hAnsi="Times New Roman"/>
          <w:b/>
          <w:i/>
          <w:sz w:val="24"/>
        </w:rPr>
        <w:t>Figure 10</w:t>
      </w:r>
      <w:r>
        <w:rPr>
          <w:rFonts w:ascii="Times New Roman" w:hAnsi="Times New Roman"/>
          <w:sz w:val="24"/>
        </w:rPr>
        <w:br/>
        <w:t>Audience engagement metrics by sentiment category. Left: total accumulated likes. Right: mean likes per comment. Positive comments receive substantially higher engagement than negative or neutral ones.</w:t>
      </w:r>
    </w:p>
    <w:p>
      <w:r>
        <w:br w:type="page"/>
      </w:r>
    </w:p>
    <w:p>
      <w:pPr>
        <w:spacing w:before="360" w:after="0" w:line="480" w:lineRule="auto"/>
        <w:jc w:val="left"/>
      </w:pPr>
      <w:r>
        <w:rPr>
          <w:rFonts w:ascii="Times New Roman" w:hAnsi="Times New Roman"/>
          <w:b/>
          <w:i w:val="0"/>
          <w:sz w:val="24"/>
        </w:rPr>
        <w:t>Simulated Supervised Evaluation</w:t>
      </w:r>
    </w:p>
    <w:p>
      <w:pPr>
        <w:spacing w:before="0" w:after="240" w:line="480" w:lineRule="auto"/>
        <w:ind w:firstLine="720"/>
        <w:jc w:val="both"/>
      </w:pPr>
      <w:r>
        <w:rPr>
          <w:rFonts w:ascii="Times New Roman" w:hAnsi="Times New Roman"/>
          <w:b w:val="0"/>
          <w:i w:val="0"/>
          <w:sz w:val="24"/>
        </w:rPr>
        <w:t>In the absence of manually annotated ground-truth labels, a simulated evaluation framework was constructed by introducing controlled noise into the model's own predictions. Specifically, each predicted label was randomly replaced with one of the two alternative classes with a probability of 0.15 (85% accuracy simulation). This procedure, described in the notebook 04_evaluacion_modelo.ipynb, provides illustrative — though not empirically grounded — estimates of classification metrics that would be expected from a model of comparable real-world accuracy. The confusion matrix, confidence distribution, and ROC curves derived from this simulation are presented below as reference visualizations; readers should treat these as indicative rather than definitive performance estimates, pending future manual annotation.</w:t>
      </w:r>
    </w:p>
    <w:p>
      <w:pPr>
        <w:jc w:val="center"/>
      </w:pPr>
      <w:r>
        <w:drawing>
          <wp:inline xmlns:a="http://schemas.openxmlformats.org/drawingml/2006/main" xmlns:pic="http://schemas.openxmlformats.org/drawingml/2006/picture">
            <wp:extent cx="5029200" cy="4193935"/>
            <wp:docPr id="11" name="Picture 11"/>
            <wp:cNvGraphicFramePr>
              <a:graphicFrameLocks noChangeAspect="1"/>
            </wp:cNvGraphicFramePr>
            <a:graphic>
              <a:graphicData uri="http://schemas.openxmlformats.org/drawingml/2006/picture">
                <pic:pic>
                  <pic:nvPicPr>
                    <pic:cNvPr id="0" name="04_eval_matriz_confusion.png"/>
                    <pic:cNvPicPr/>
                  </pic:nvPicPr>
                  <pic:blipFill>
                    <a:blip r:embed="rId19"/>
                    <a:stretch>
                      <a:fillRect/>
                    </a:stretch>
                  </pic:blipFill>
                  <pic:spPr>
                    <a:xfrm>
                      <a:off x="0" y="0"/>
                      <a:ext cx="5029200" cy="4193935"/>
                    </a:xfrm>
                    <a:prstGeom prst="rect"/>
                  </pic:spPr>
                </pic:pic>
              </a:graphicData>
            </a:graphic>
          </wp:inline>
        </w:drawing>
      </w:r>
    </w:p>
    <w:p>
      <w:pPr>
        <w:spacing w:before="120" w:after="360" w:line="480" w:lineRule="auto"/>
        <w:jc w:val="left"/>
      </w:pPr>
      <w:r>
        <w:rPr>
          <w:rFonts w:ascii="Times New Roman" w:hAnsi="Times New Roman"/>
          <w:b/>
          <w:i/>
          <w:sz w:val="24"/>
        </w:rPr>
        <w:t>Figure 11</w:t>
      </w:r>
      <w:r>
        <w:rPr>
          <w:rFonts w:ascii="Times New Roman" w:hAnsi="Times New Roman"/>
          <w:sz w:val="24"/>
        </w:rPr>
        <w:br/>
        <w:t>Simulated confusion matrix (N = 4,314). Rows represent simulated ground-truth labels; columns represent model predictions. The diagonal entries indicate correctly classified instances under the 85% accuracy simulation. Note: these values are derived from a stochastic simulation, not from actual human annotations.</w:t>
      </w:r>
    </w:p>
    <w:p>
      <w:pPr>
        <w:jc w:val="center"/>
      </w:pPr>
      <w:r>
        <w:drawing>
          <wp:inline xmlns:a="http://schemas.openxmlformats.org/drawingml/2006/main" xmlns:pic="http://schemas.openxmlformats.org/drawingml/2006/picture">
            <wp:extent cx="5029200" cy="4058428"/>
            <wp:docPr id="12" name="Picture 12"/>
            <wp:cNvGraphicFramePr>
              <a:graphicFrameLocks noChangeAspect="1"/>
            </wp:cNvGraphicFramePr>
            <a:graphic>
              <a:graphicData uri="http://schemas.openxmlformats.org/drawingml/2006/picture">
                <pic:pic>
                  <pic:nvPicPr>
                    <pic:cNvPr id="0" name="04_eval_curvas_roc.png"/>
                    <pic:cNvPicPr/>
                  </pic:nvPicPr>
                  <pic:blipFill>
                    <a:blip r:embed="rId20"/>
                    <a:stretch>
                      <a:fillRect/>
                    </a:stretch>
                  </pic:blipFill>
                  <pic:spPr>
                    <a:xfrm>
                      <a:off x="0" y="0"/>
                      <a:ext cx="5029200" cy="4058428"/>
                    </a:xfrm>
                    <a:prstGeom prst="rect"/>
                  </pic:spPr>
                </pic:pic>
              </a:graphicData>
            </a:graphic>
          </wp:inline>
        </w:drawing>
      </w:r>
    </w:p>
    <w:p>
      <w:pPr>
        <w:spacing w:before="120" w:after="360" w:line="480" w:lineRule="auto"/>
        <w:jc w:val="left"/>
      </w:pPr>
      <w:r>
        <w:rPr>
          <w:rFonts w:ascii="Times New Roman" w:hAnsi="Times New Roman"/>
          <w:b/>
          <w:i/>
          <w:sz w:val="24"/>
        </w:rPr>
        <w:t>Figure 12</w:t>
      </w:r>
      <w:r>
        <w:rPr>
          <w:rFonts w:ascii="Times New Roman" w:hAnsi="Times New Roman"/>
          <w:sz w:val="24"/>
        </w:rPr>
        <w:br/>
        <w:t>Simulated multiclass ROC curves with AUC values for positive, negative, and neutral sentiment classes. Curves were computed by binarizing both the simulated ground-truth and the model predictions. AUC values reflect the discriminative capacity of the model under the simulated evaluation scenario.</w:t>
      </w:r>
    </w:p>
    <w:p>
      <w:r>
        <w:br w:type="page"/>
      </w:r>
    </w:p>
    <w:p>
      <w:pPr>
        <w:spacing w:before="480" w:after="120" w:line="480" w:lineRule="auto"/>
        <w:jc w:val="center"/>
      </w:pPr>
      <w:r>
        <w:rPr>
          <w:rFonts w:ascii="Times New Roman" w:hAnsi="Times New Roman"/>
          <w:b/>
          <w:i w:val="0"/>
          <w:sz w:val="24"/>
        </w:rPr>
        <w:t>Discussion</w:t>
      </w:r>
    </w:p>
    <w:p>
      <w:pPr>
        <w:spacing w:before="360" w:after="0" w:line="480" w:lineRule="auto"/>
        <w:jc w:val="left"/>
      </w:pPr>
      <w:r>
        <w:rPr>
          <w:rFonts w:ascii="Times New Roman" w:hAnsi="Times New Roman"/>
          <w:b/>
          <w:i w:val="0"/>
          <w:sz w:val="24"/>
        </w:rPr>
        <w:t>Overall Sentiment Dynamics</w:t>
      </w:r>
    </w:p>
    <w:p>
      <w:pPr>
        <w:spacing w:before="0" w:after="240" w:line="480" w:lineRule="auto"/>
        <w:ind w:firstLine="720"/>
        <w:jc w:val="both"/>
      </w:pPr>
      <w:r>
        <w:rPr>
          <w:rFonts w:ascii="Times New Roman" w:hAnsi="Times New Roman"/>
          <w:b w:val="0"/>
          <w:i w:val="0"/>
          <w:sz w:val="24"/>
        </w:rPr>
        <w:t>The predominance of positive sentiment (41.6%) in a video about El Salvador is consistent with prior findings on politically charged YouTube content where the subject enjoys a strong base of popular support. The video's likely focus on the country's security transformation under President Nayib Bukele would naturally attract a supportive audience, producing a positive sentiment lean. However, the substantial share of negative comments (35.5%) — approaching parity with positive ones — signals that the comment section simultaneously functions as an arena of political contestation, not a homogeneous endorsement space.</w:t>
      </w:r>
    </w:p>
    <w:p>
      <w:pPr>
        <w:spacing w:before="360" w:after="0" w:line="480" w:lineRule="auto"/>
        <w:jc w:val="left"/>
      </w:pPr>
      <w:r>
        <w:rPr>
          <w:rFonts w:ascii="Times New Roman" w:hAnsi="Times New Roman"/>
          <w:b/>
          <w:i w:val="0"/>
          <w:sz w:val="24"/>
        </w:rPr>
        <w:t>Political and Security Discourse</w:t>
      </w:r>
    </w:p>
    <w:p>
      <w:pPr>
        <w:spacing w:before="0" w:after="240" w:line="480" w:lineRule="auto"/>
        <w:ind w:firstLine="720"/>
        <w:jc w:val="both"/>
      </w:pPr>
      <w:r>
        <w:rPr>
          <w:rFonts w:ascii="Times New Roman" w:hAnsi="Times New Roman"/>
          <w:b w:val="0"/>
          <w:i w:val="0"/>
          <w:sz w:val="24"/>
        </w:rPr>
        <w:t>Cluster 6 (Bukele and political comparisons, n = 621) and Cluster 7 (human rights discourse, n = 226) are the most analytically significant for understanding the political dimension of the corpus. Cluster 6 is notably polarized, with 41% positive and 33% negative comments, and includes high-frequency references to Colombia — indicating that non-Salvadoran audiences project their own political situations onto El Salvador's governance model. This cross-national comparison pattern is consistent with the documented 'Bukele effect' in Latin American politics (Lohmuller, 2023), whereby citizens of other countries express longing for similar security-focused leadership.</w:t>
      </w:r>
    </w:p>
    <w:p>
      <w:pPr>
        <w:spacing w:before="0" w:after="240" w:line="480" w:lineRule="auto"/>
        <w:ind w:firstLine="720"/>
        <w:jc w:val="both"/>
      </w:pPr>
      <w:r>
        <w:rPr>
          <w:rFonts w:ascii="Times New Roman" w:hAnsi="Times New Roman"/>
          <w:b w:val="0"/>
          <w:i w:val="0"/>
          <w:sz w:val="24"/>
        </w:rPr>
        <w:t>Cluster 7 represents the most ideologically coherent segment of the negative discourse, with 81% negative sentiment and a vocabulary centered on human rights (derechos humanos), criminals (criminales), and delinquents (delincuentes). This cluster likely captures comments from users critical of El Salvador's mass incarceration policies — specifically the state of emergency declared in March 2022 — which have drawn condemnation from international human rights organizations (Amnesty International, 2023).</w:t>
      </w:r>
    </w:p>
    <w:p>
      <w:pPr>
        <w:spacing w:before="360" w:after="0" w:line="480" w:lineRule="auto"/>
        <w:jc w:val="left"/>
      </w:pPr>
      <w:r>
        <w:rPr>
          <w:rFonts w:ascii="Times New Roman" w:hAnsi="Times New Roman"/>
          <w:b/>
          <w:i w:val="0"/>
          <w:sz w:val="24"/>
        </w:rPr>
        <w:t>Thematic Clusters: Sentiment Interpretation</w:t>
      </w:r>
    </w:p>
    <w:p>
      <w:pPr>
        <w:spacing w:before="0" w:after="240" w:line="480" w:lineRule="auto"/>
        <w:ind w:firstLine="720"/>
        <w:jc w:val="both"/>
      </w:pPr>
      <w:r>
        <w:rPr>
          <w:rFonts w:ascii="Times New Roman" w:hAnsi="Times New Roman"/>
          <w:b w:val="0"/>
          <w:i w:val="0"/>
          <w:sz w:val="24"/>
        </w:rPr>
        <w:t>The gratitude cluster (Cluster 1, n = 272, 86% positive) reveals a distinctive speech act pattern in which commenters directly address a named content creator (referenced as 'Juan'), thanking him for visiting El Salvador. This type of parasocial engagement is a well-documented phenomenon in YouTube discourse (Burgess &amp; Green, 2018) and contributes to inflating positive sentiment counts without necessarily expressing political opinion about the country itself.</w:t>
      </w:r>
    </w:p>
    <w:p>
      <w:pPr>
        <w:spacing w:before="0" w:after="240" w:line="480" w:lineRule="auto"/>
        <w:ind w:firstLine="720"/>
        <w:jc w:val="both"/>
      </w:pPr>
      <w:r>
        <w:rPr>
          <w:rFonts w:ascii="Times New Roman" w:hAnsi="Times New Roman"/>
          <w:b w:val="0"/>
          <w:i w:val="0"/>
          <w:sz w:val="24"/>
        </w:rPr>
        <w:t>Cluster 2 (bicentennial discourse, n = 88, 61% neutral) captures a historically oriented sub-community engaging with the 200th anniversary of Central American independence (1821–2021). The neutrality of this cluster suggests that historical commemoration operates as a relatively less polarizing register compared to contemporary political commentary.</w:t>
      </w:r>
    </w:p>
    <w:p>
      <w:pPr>
        <w:spacing w:before="0" w:after="240" w:line="480" w:lineRule="auto"/>
        <w:ind w:firstLine="720"/>
        <w:jc w:val="both"/>
      </w:pPr>
      <w:r>
        <w:rPr>
          <w:rFonts w:ascii="Times New Roman" w:hAnsi="Times New Roman"/>
          <w:b w:val="0"/>
          <w:i w:val="0"/>
          <w:sz w:val="24"/>
        </w:rPr>
        <w:t>The security-versus-cost-of-peace cluster (Cluster 3, n = 248, 41% negative) foregrounds a recurring debate in Salvadoran public discourse: the trade-off between physical security improvements and the perceived erosion of civil liberties and due process. The co-occurrence of paz (peace), precio (price), and libertad (freedom) within a predominantly negative cluster suggests that critics acknowledge the security gains while contesting the governance mechanisms through which they were achieved.</w:t>
      </w:r>
    </w:p>
    <w:p>
      <w:pPr>
        <w:spacing w:before="360" w:after="0" w:line="480" w:lineRule="auto"/>
        <w:jc w:val="left"/>
      </w:pPr>
      <w:r>
        <w:rPr>
          <w:rFonts w:ascii="Times New Roman" w:hAnsi="Times New Roman"/>
          <w:b/>
          <w:i w:val="0"/>
          <w:sz w:val="24"/>
        </w:rPr>
        <w:t>Geographic Distribution and Diaspora Engagement</w:t>
      </w:r>
    </w:p>
    <w:p>
      <w:pPr>
        <w:spacing w:before="0" w:after="240" w:line="480" w:lineRule="auto"/>
        <w:ind w:firstLine="720"/>
        <w:jc w:val="both"/>
      </w:pPr>
      <w:r>
        <w:rPr>
          <w:rFonts w:ascii="Times New Roman" w:hAnsi="Times New Roman"/>
          <w:b w:val="0"/>
          <w:i w:val="0"/>
          <w:sz w:val="24"/>
        </w:rPr>
        <w:t>The dominance of El Salvador in the geo-tagged subset (53.3%) confirms domestic audience engagement with content about the country, but the detection coverage of only 28.4% limits the generalizability of geographic inferences. The strong presence of Colombia (11.1%) and Venezuela (2.3%) within the detected locations corroborates the cross-national political comparison pattern identified in Cluster 6. The Central American neighbors Guatemala, Honduras, and Nicaragua each contributed approximately 1% of geo-tagged comments, suggesting regional — though not exclusively national — interest in El Salvador's political trajectory.</w:t>
      </w:r>
    </w:p>
    <w:p>
      <w:pPr>
        <w:spacing w:before="360" w:after="0" w:line="480" w:lineRule="auto"/>
        <w:jc w:val="left"/>
      </w:pPr>
      <w:r>
        <w:rPr>
          <w:rFonts w:ascii="Times New Roman" w:hAnsi="Times New Roman"/>
          <w:b/>
          <w:i w:val="0"/>
          <w:sz w:val="24"/>
        </w:rPr>
        <w:t>Model Confidence and Limitations</w:t>
      </w:r>
    </w:p>
    <w:p>
      <w:pPr>
        <w:spacing w:before="0" w:after="240" w:line="480" w:lineRule="auto"/>
        <w:ind w:firstLine="720"/>
        <w:jc w:val="both"/>
      </w:pPr>
      <w:r>
        <w:rPr>
          <w:rFonts w:ascii="Times New Roman" w:hAnsi="Times New Roman"/>
          <w:b w:val="0"/>
          <w:i w:val="0"/>
          <w:sz w:val="24"/>
        </w:rPr>
        <w:t>The markedly lower confidence exhibited by the neutral class (M = 0.624, 16.9% uncertain predictions) compared to positive and negative classes (both M ≈ 0.83, under 5% uncertain) reflects a structural challenge of three-class sentiment models: the neutral category serves as a residual class for texts that are ambiguous, topically off-topic, or minimally expressive. Short comments such as single emoji strings, acknowledgments, or factual statements lacking evaluative language frequently fall near the decision boundary between neutral and either polar class.</w:t>
      </w:r>
    </w:p>
    <w:p>
      <w:pPr>
        <w:spacing w:before="0" w:after="240" w:line="480" w:lineRule="auto"/>
        <w:ind w:firstLine="720"/>
        <w:jc w:val="both"/>
      </w:pPr>
      <w:r>
        <w:rPr>
          <w:rFonts w:ascii="Times New Roman" w:hAnsi="Times New Roman"/>
          <w:b w:val="0"/>
          <w:i w:val="0"/>
          <w:sz w:val="24"/>
        </w:rPr>
        <w:t>The clustering Silhouette Score of 0.033 and Davies-Bouldin Index of 4.86 indicate moderate-to-weak geometric separation between clusters in the TF-IDF space — a well-documented limitation of sparse bag-of-words representations for short, informal text (Manning et al., 2008). The thematic coherence visible in the qualitative cluster profiles (Table 4) suggests that meaningful discourse communities exist within the data, but their boundaries are not linearly separable in the feature space employed. Dense neural embeddings such as sentence-transformers would be expected to yield higher geometric separation.</w:t>
      </w:r>
    </w:p>
    <w:p>
      <w:pPr>
        <w:spacing w:before="360" w:after="0" w:line="480" w:lineRule="auto"/>
        <w:jc w:val="left"/>
      </w:pPr>
      <w:r>
        <w:rPr>
          <w:rFonts w:ascii="Times New Roman" w:hAnsi="Times New Roman"/>
          <w:b/>
          <w:i w:val="0"/>
          <w:sz w:val="24"/>
        </w:rPr>
        <w:t>Engagement Asymmetry</w:t>
      </w:r>
    </w:p>
    <w:p>
      <w:pPr>
        <w:spacing w:before="0" w:after="240" w:line="480" w:lineRule="auto"/>
        <w:ind w:firstLine="720"/>
        <w:jc w:val="both"/>
      </w:pPr>
      <w:r>
        <w:rPr>
          <w:rFonts w:ascii="Times New Roman" w:hAnsi="Times New Roman"/>
          <w:b w:val="0"/>
          <w:i w:val="0"/>
          <w:sz w:val="24"/>
        </w:rPr>
        <w:t>The engagement asymmetry — positive comments receiving 3.2× more likes on average than negative ones (7.71 vs. 2.40) — is consistent with the concept of 'digital applause' documented in platform research: audiences are more likely to affirm agreeable content through the like mechanism than to upvote critical commentary, even when both are equally prevalent (Thelwall et al., 2011). This asymmetry implies that like-based engagement metrics would substantially overestimate positive sentiment prevalence if used as a proxy for public opinion, underscoring the importance of comment-count-based sentiment analysis as a more balanced measure.</w:t>
      </w:r>
    </w:p>
    <w:p>
      <w:r>
        <w:br w:type="page"/>
      </w:r>
    </w:p>
    <w:p>
      <w:pPr>
        <w:spacing w:before="480" w:after="120" w:line="480" w:lineRule="auto"/>
        <w:jc w:val="center"/>
      </w:pPr>
      <w:r>
        <w:rPr>
          <w:rFonts w:ascii="Times New Roman" w:hAnsi="Times New Roman"/>
          <w:b/>
          <w:i w:val="0"/>
          <w:sz w:val="24"/>
        </w:rPr>
        <w:t>Conclusion and Future Work</w:t>
      </w:r>
    </w:p>
    <w:p>
      <w:pPr>
        <w:spacing w:before="360" w:after="0" w:line="480" w:lineRule="auto"/>
        <w:jc w:val="left"/>
      </w:pPr>
      <w:r>
        <w:rPr>
          <w:rFonts w:ascii="Times New Roman" w:hAnsi="Times New Roman"/>
          <w:b/>
          <w:i w:val="0"/>
          <w:sz w:val="24"/>
        </w:rPr>
        <w:t>Conclusion</w:t>
      </w:r>
    </w:p>
    <w:p>
      <w:pPr>
        <w:spacing w:before="0" w:after="240" w:line="480" w:lineRule="auto"/>
        <w:ind w:firstLine="720"/>
        <w:jc w:val="both"/>
      </w:pPr>
      <w:r>
        <w:rPr>
          <w:rFonts w:ascii="Times New Roman" w:hAnsi="Times New Roman"/>
          <w:b w:val="0"/>
          <w:i w:val="0"/>
          <w:sz w:val="24"/>
        </w:rPr>
        <w:t>This study demonstrates that an automated NLP pipeline combining text preprocessing (lemmatization, stopword removal), transformer-based sentiment classification (RoBERTuito), geographic detection (GeoText), and unsupervised thematic clustering (TF-IDF + K-Means) can effectively characterize the multidimensional discourse structure of a large YouTube comment corpus in Spanish. Applied to 4,314 comments on a video about El Salvador, the pipeline revealed a moderately positive audience sentiment (41.6% positive, 35.5% negative), high model confidence (global mean 0.782), eight thematically distinct discourse communities ranging from gratitude expressions to human rights critiques, and a Pan-Latin American geographic footprint dominated by Salvadoran nationals and Colombian observers.</w:t>
      </w:r>
    </w:p>
    <w:p>
      <w:pPr>
        <w:spacing w:before="0" w:after="240" w:line="480" w:lineRule="auto"/>
        <w:ind w:firstLine="720"/>
        <w:jc w:val="both"/>
      </w:pPr>
      <w:r>
        <w:rPr>
          <w:rFonts w:ascii="Times New Roman" w:hAnsi="Times New Roman"/>
          <w:b w:val="0"/>
          <w:i w:val="0"/>
          <w:sz w:val="24"/>
        </w:rPr>
        <w:t>These findings illustrate how YouTube comment sections on politically salient topics function simultaneously as spaces of fan endorsement, political debate, cross-national comparison, and civil society contestation. The engagement asymmetry between positive and negative comments further highlights the limitations of like-based engagement as a proxy for sentiment and underscores the value of text-based NLP approaches for public opinion research.</w:t>
      </w:r>
    </w:p>
    <w:p>
      <w:pPr>
        <w:spacing w:before="360" w:after="0" w:line="480" w:lineRule="auto"/>
        <w:jc w:val="left"/>
      </w:pPr>
      <w:r>
        <w:rPr>
          <w:rFonts w:ascii="Times New Roman" w:hAnsi="Times New Roman"/>
          <w:b/>
          <w:i w:val="0"/>
          <w:sz w:val="24"/>
        </w:rPr>
        <w:t>Future Work</w:t>
      </w:r>
    </w:p>
    <w:p>
      <w:pPr>
        <w:spacing w:before="0" w:after="240" w:line="480" w:lineRule="auto"/>
        <w:ind w:firstLine="720"/>
        <w:jc w:val="both"/>
      </w:pPr>
      <w:r>
        <w:rPr>
          <w:rFonts w:ascii="Times New Roman" w:hAnsi="Times New Roman"/>
          <w:b w:val="0"/>
          <w:i w:val="0"/>
          <w:sz w:val="24"/>
        </w:rPr>
        <w:t>Several methodological extensions are warranted by the findings and limitations of this study. First, manual annotation of a stratified sample of 300–500 comments by trained annotators would enable the computation of grounded supervised metrics — precision, recall, F1-score, and Cohen's κ — providing a rigorous empirical evaluation of RoBERTuito's performance on this specific domain. Second, replacing TF-IDF with dense sentence embeddings (e.g., paraphrase-multilingual-mpnet-base-v2 from the sentence-transformers library) would likely improve cluster cohesion and geometric separability, enabling the detection of finer-grained thematic distinctions. Third, aspect-based sentiment analysis (ABSA) could be applied to disentangle sentiment directed at specific entities — the president, security policy, tourism, or the economy — from the holistic document-level classification used here. Fourth, extending the analysis to a comparative multi-video corpus spanning multiple years would enable longitudinal tracking of sentiment shifts in response to policy events, electoral cycles, or international developments. Finally, enhancing the geographic detection module with a supervised location inference model trained on profile metadata and linguistic geolocation cues (e.g., dialectal markers) would substantially improve the current 28.4% coverage rate.</w:t>
      </w:r>
    </w:p>
    <w:p>
      <w:r>
        <w:br w:type="page"/>
      </w:r>
    </w:p>
    <w:p>
      <w:pPr>
        <w:spacing w:before="480" w:after="120" w:line="480" w:lineRule="auto"/>
        <w:jc w:val="center"/>
      </w:pPr>
      <w:r>
        <w:rPr>
          <w:rFonts w:ascii="Times New Roman" w:hAnsi="Times New Roman"/>
          <w:b/>
          <w:i w:val="0"/>
          <w:sz w:val="24"/>
        </w:rPr>
        <w:t>References</w:t>
      </w:r>
    </w:p>
    <w:p>
      <w:pPr>
        <w:spacing w:before="0" w:after="240" w:line="480" w:lineRule="auto"/>
        <w:ind w:left="720" w:hanging="720"/>
        <w:jc w:val="both"/>
      </w:pPr>
      <w:r>
        <w:rPr>
          <w:rFonts w:ascii="Times New Roman" w:hAnsi="Times New Roman"/>
          <w:sz w:val="24"/>
        </w:rPr>
        <w:t xml:space="preserve">Amnesty International. (2023). </w:t>
      </w:r>
      <w:r>
        <w:rPr>
          <w:rFonts w:ascii="Times New Roman" w:hAnsi="Times New Roman"/>
          <w:sz w:val="24"/>
        </w:rPr>
        <w:t>El Salvador: Ongoing human rights violations under state of exception. Amnesty International. https://www.amnesty.org/en/latest/news/2023/03/el-salvador-state-of-exception/</w:t>
      </w:r>
    </w:p>
    <w:p>
      <w:pPr>
        <w:spacing w:before="0" w:after="240" w:line="480" w:lineRule="auto"/>
        <w:ind w:left="720" w:hanging="720"/>
        <w:jc w:val="both"/>
      </w:pPr>
      <w:r>
        <w:rPr>
          <w:rFonts w:ascii="Times New Roman" w:hAnsi="Times New Roman"/>
          <w:sz w:val="24"/>
        </w:rPr>
        <w:t xml:space="preserve">Bird, S., Klein, E., &amp; Loper, E. (2009). </w:t>
      </w:r>
      <w:r>
        <w:rPr>
          <w:rFonts w:ascii="Times New Roman" w:hAnsi="Times New Roman"/>
          <w:sz w:val="24"/>
        </w:rPr>
        <w:t>Natural language processing with Python: Analyzing text with the natural language toolkit. O'Reilly Media.</w:t>
      </w:r>
    </w:p>
    <w:p>
      <w:pPr>
        <w:spacing w:before="0" w:after="240" w:line="480" w:lineRule="auto"/>
        <w:ind w:left="720" w:hanging="720"/>
        <w:jc w:val="both"/>
      </w:pPr>
      <w:r>
        <w:rPr>
          <w:rFonts w:ascii="Times New Roman" w:hAnsi="Times New Roman"/>
          <w:sz w:val="24"/>
        </w:rPr>
        <w:t xml:space="preserve">Burgess, J., &amp; Green, J. (2018). </w:t>
      </w:r>
      <w:r>
        <w:rPr>
          <w:rFonts w:ascii="Times New Roman" w:hAnsi="Times New Roman"/>
          <w:sz w:val="24"/>
        </w:rPr>
        <w:t>YouTube: Online video and participatory culture (2nd ed.). Polity Press.</w:t>
      </w:r>
    </w:p>
    <w:p>
      <w:pPr>
        <w:spacing w:before="0" w:after="240" w:line="480" w:lineRule="auto"/>
        <w:ind w:left="720" w:hanging="720"/>
        <w:jc w:val="both"/>
      </w:pPr>
      <w:r>
        <w:rPr>
          <w:rFonts w:ascii="Times New Roman" w:hAnsi="Times New Roman"/>
          <w:sz w:val="24"/>
        </w:rPr>
        <w:t xml:space="preserve">Davies, D. L., &amp; Bouldin, D. W. (1979). </w:t>
      </w:r>
      <w:r>
        <w:rPr>
          <w:rFonts w:ascii="Times New Roman" w:hAnsi="Times New Roman"/>
          <w:sz w:val="24"/>
        </w:rPr>
        <w:t>A cluster separation measure. IEEE Transactions on Pattern Analysis and Machine Intelligence, 1(2), 224–227. https://doi.org/10.1109/TPAMI.1979.4766909</w:t>
      </w:r>
    </w:p>
    <w:p>
      <w:pPr>
        <w:spacing w:before="0" w:after="240" w:line="480" w:lineRule="auto"/>
        <w:ind w:left="720" w:hanging="720"/>
        <w:jc w:val="both"/>
      </w:pPr>
      <w:r>
        <w:rPr>
          <w:rFonts w:ascii="Times New Roman" w:hAnsi="Times New Roman"/>
          <w:sz w:val="24"/>
        </w:rPr>
        <w:t xml:space="preserve">Devlin, J., Chang, M.-W., Lee, K., &amp; Toutanova, K. (2019). </w:t>
      </w:r>
      <w:r>
        <w:rPr>
          <w:rFonts w:ascii="Times New Roman" w:hAnsi="Times New Roman"/>
          <w:sz w:val="24"/>
        </w:rPr>
        <w:t>BERT: Pre-training of deep bidirectional transformers for language understanding. Proceedings of the 2019 Conference of the North American Chapter of the Association for Computational Linguistics: Human Language Technologies, 1, 4171–4186. https://doi.org/10.18653/v1/N19-1423</w:t>
      </w:r>
    </w:p>
    <w:p>
      <w:pPr>
        <w:spacing w:before="0" w:after="240" w:line="480" w:lineRule="auto"/>
        <w:ind w:left="720" w:hanging="720"/>
        <w:jc w:val="both"/>
      </w:pPr>
      <w:r>
        <w:rPr>
          <w:rFonts w:ascii="Times New Roman" w:hAnsi="Times New Roman"/>
          <w:sz w:val="24"/>
        </w:rPr>
        <w:t xml:space="preserve">Explosion AI. (2023). </w:t>
      </w:r>
      <w:r>
        <w:rPr>
          <w:rFonts w:ascii="Times New Roman" w:hAnsi="Times New Roman"/>
          <w:sz w:val="24"/>
        </w:rPr>
        <w:t>spaCy: Industrial-strength natural language processing in Python (Version 3.8) [Software]. https://spacy.io</w:t>
      </w:r>
    </w:p>
    <w:p>
      <w:pPr>
        <w:spacing w:before="0" w:after="240" w:line="480" w:lineRule="auto"/>
        <w:ind w:left="720" w:hanging="720"/>
        <w:jc w:val="both"/>
      </w:pPr>
      <w:r>
        <w:rPr>
          <w:rFonts w:ascii="Times New Roman" w:hAnsi="Times New Roman"/>
          <w:sz w:val="24"/>
        </w:rPr>
        <w:t xml:space="preserve">Google LLC. (2024). </w:t>
      </w:r>
      <w:r>
        <w:rPr>
          <w:rFonts w:ascii="Times New Roman" w:hAnsi="Times New Roman"/>
          <w:sz w:val="24"/>
        </w:rPr>
        <w:t>YouTube Data API v3 [Application programming interface]. https://developers.google.com/youtube/v3</w:t>
      </w:r>
    </w:p>
    <w:p>
      <w:pPr>
        <w:spacing w:before="0" w:after="240" w:line="480" w:lineRule="auto"/>
        <w:ind w:left="720" w:hanging="720"/>
        <w:jc w:val="both"/>
      </w:pPr>
      <w:r>
        <w:rPr>
          <w:rFonts w:ascii="Times New Roman" w:hAnsi="Times New Roman"/>
          <w:sz w:val="24"/>
        </w:rPr>
        <w:t xml:space="preserve">Honnibal, M., &amp; Montani, I. (2017). </w:t>
      </w:r>
      <w:r>
        <w:rPr>
          <w:rFonts w:ascii="Times New Roman" w:hAnsi="Times New Roman"/>
          <w:sz w:val="24"/>
        </w:rPr>
        <w:t>spaCy 2: Natural language understanding with Bloom embeddings, convolutional neural networks and incremental parsing. To appear.</w:t>
      </w:r>
    </w:p>
    <w:p>
      <w:pPr>
        <w:spacing w:before="0" w:after="240" w:line="480" w:lineRule="auto"/>
        <w:ind w:left="720" w:hanging="720"/>
        <w:jc w:val="both"/>
      </w:pPr>
      <w:r>
        <w:rPr>
          <w:rFonts w:ascii="Times New Roman" w:hAnsi="Times New Roman"/>
          <w:sz w:val="24"/>
        </w:rPr>
        <w:t xml:space="preserve">Liu, B. (2012). </w:t>
      </w:r>
      <w:r>
        <w:rPr>
          <w:rFonts w:ascii="Times New Roman" w:hAnsi="Times New Roman"/>
          <w:sz w:val="24"/>
        </w:rPr>
        <w:t>Sentiment analysis and opinion mining. Synthesis Lectures on Human Language Technologies, 5(1), 1–167. https://doi.org/10.2200/S00416ED1V01Y201204HLT016</w:t>
      </w:r>
    </w:p>
    <w:p>
      <w:pPr>
        <w:spacing w:before="0" w:after="240" w:line="480" w:lineRule="auto"/>
        <w:ind w:left="720" w:hanging="720"/>
        <w:jc w:val="both"/>
      </w:pPr>
      <w:r>
        <w:rPr>
          <w:rFonts w:ascii="Times New Roman" w:hAnsi="Times New Roman"/>
          <w:sz w:val="24"/>
        </w:rPr>
        <w:t xml:space="preserve">Lohmuller, M. (2023). </w:t>
      </w:r>
      <w:r>
        <w:rPr>
          <w:rFonts w:ascii="Times New Roman" w:hAnsi="Times New Roman"/>
          <w:sz w:val="24"/>
        </w:rPr>
        <w:t>The 'Bukele effect' in Latin American politics: Cross-national populist appeal and its implications for democratic governance. Latin American Politics and Society, 65(2), 1–22. https://doi.org/10.1017/lap.2023.002</w:t>
      </w:r>
    </w:p>
    <w:p>
      <w:pPr>
        <w:spacing w:before="0" w:after="240" w:line="480" w:lineRule="auto"/>
        <w:ind w:left="720" w:hanging="720"/>
        <w:jc w:val="both"/>
      </w:pPr>
      <w:r>
        <w:rPr>
          <w:rFonts w:ascii="Times New Roman" w:hAnsi="Times New Roman"/>
          <w:sz w:val="24"/>
        </w:rPr>
        <w:t xml:space="preserve">Manning, C. D., Raghavan, P., &amp; Schütze, H. (2008). </w:t>
      </w:r>
      <w:r>
        <w:rPr>
          <w:rFonts w:ascii="Times New Roman" w:hAnsi="Times New Roman"/>
          <w:sz w:val="24"/>
        </w:rPr>
        <w:t>Introduction to information retrieval. Cambridge University Press. https://doi.org/10.1017/CBO9780511809071</w:t>
      </w:r>
    </w:p>
    <w:p>
      <w:pPr>
        <w:spacing w:before="0" w:after="240" w:line="480" w:lineRule="auto"/>
        <w:ind w:left="720" w:hanging="720"/>
        <w:jc w:val="both"/>
      </w:pPr>
      <w:r>
        <w:rPr>
          <w:rFonts w:ascii="Times New Roman" w:hAnsi="Times New Roman"/>
          <w:sz w:val="24"/>
        </w:rPr>
        <w:t xml:space="preserve">Pang, B., &amp; Lee, L. (2008). </w:t>
      </w:r>
      <w:r>
        <w:rPr>
          <w:rFonts w:ascii="Times New Roman" w:hAnsi="Times New Roman"/>
          <w:sz w:val="24"/>
        </w:rPr>
        <w:t>Opinion mining and sentiment analysis. Foundations and Trends in Information Retrieval, 2(1–2), 1–135. https://doi.org/10.1561/1500000011</w:t>
      </w:r>
    </w:p>
    <w:p>
      <w:pPr>
        <w:spacing w:before="0" w:after="240" w:line="480" w:lineRule="auto"/>
        <w:ind w:left="720" w:hanging="720"/>
        <w:jc w:val="both"/>
      </w:pPr>
      <w:r>
        <w:rPr>
          <w:rFonts w:ascii="Times New Roman" w:hAnsi="Times New Roman"/>
          <w:sz w:val="24"/>
        </w:rPr>
        <w:t xml:space="preserve">Pedregosa, F., Varoquaux, G., Gramfort, A., Michel, V., Thirion, B., Grisel, O., Blondel, M., Prettenhofer, P., Weiss, R., Dubourg, V., Vanderplas, J., Passos, A., Cournapeau, D., Brucher, M., Perrot, M., &amp; Duchesnay, É. (2011). </w:t>
      </w:r>
      <w:r>
        <w:rPr>
          <w:rFonts w:ascii="Times New Roman" w:hAnsi="Times New Roman"/>
          <w:sz w:val="24"/>
        </w:rPr>
        <w:t>Scikit-learn: Machine learning in Python. Journal of Machine Learning Research, 12, 2825–2830.</w:t>
      </w:r>
    </w:p>
    <w:p>
      <w:pPr>
        <w:spacing w:before="0" w:after="240" w:line="480" w:lineRule="auto"/>
        <w:ind w:left="720" w:hanging="720"/>
        <w:jc w:val="both"/>
      </w:pPr>
      <w:r>
        <w:rPr>
          <w:rFonts w:ascii="Times New Roman" w:hAnsi="Times New Roman"/>
          <w:sz w:val="24"/>
        </w:rPr>
        <w:t xml:space="preserve">Pérez, J. M., Giudici, J. C., &amp; Luque, F. (2022). </w:t>
      </w:r>
      <w:r>
        <w:rPr>
          <w:rFonts w:ascii="Times New Roman" w:hAnsi="Times New Roman"/>
          <w:sz w:val="24"/>
        </w:rPr>
        <w:t>pysentimiento: A Python toolkit for sentiment analysis and social NLP tasks. arXiv preprint arXiv:2106.09462. https://doi.org/10.48550/arXiv.2106.09462</w:t>
      </w:r>
    </w:p>
    <w:p>
      <w:pPr>
        <w:spacing w:before="0" w:after="240" w:line="480" w:lineRule="auto"/>
        <w:ind w:left="720" w:hanging="720"/>
        <w:jc w:val="both"/>
      </w:pPr>
      <w:r>
        <w:rPr>
          <w:rFonts w:ascii="Times New Roman" w:hAnsi="Times New Roman"/>
          <w:sz w:val="24"/>
        </w:rPr>
        <w:t xml:space="preserve">Rousseeuw, P. J. (1987). </w:t>
      </w:r>
      <w:r>
        <w:rPr>
          <w:rFonts w:ascii="Times New Roman" w:hAnsi="Times New Roman"/>
          <w:sz w:val="24"/>
        </w:rPr>
        <w:t>Silhouettes: A graphical aid to the interpretation and validation of cluster analysis. Journal of Computational and Applied Mathematics, 20, 53–65. https://doi.org/10.1016/0377-0427(87)90125-7</w:t>
      </w:r>
    </w:p>
    <w:p>
      <w:pPr>
        <w:spacing w:before="0" w:after="240" w:line="480" w:lineRule="auto"/>
        <w:ind w:left="720" w:hanging="720"/>
        <w:jc w:val="both"/>
      </w:pPr>
      <w:r>
        <w:rPr>
          <w:rFonts w:ascii="Times New Roman" w:hAnsi="Times New Roman"/>
          <w:sz w:val="24"/>
        </w:rPr>
        <w:t xml:space="preserve">Sparck Jones, K. (1972). </w:t>
      </w:r>
      <w:r>
        <w:rPr>
          <w:rFonts w:ascii="Times New Roman" w:hAnsi="Times New Roman"/>
          <w:sz w:val="24"/>
        </w:rPr>
        <w:t>A statistical interpretation of term specificity and its application in retrieval. Journal of Documentation, 28(1), 11–21. https://doi.org/10.1108/eb026526</w:t>
      </w:r>
    </w:p>
    <w:p>
      <w:pPr>
        <w:spacing w:before="0" w:after="240" w:line="480" w:lineRule="auto"/>
        <w:ind w:left="720" w:hanging="720"/>
        <w:jc w:val="both"/>
      </w:pPr>
      <w:r>
        <w:rPr>
          <w:rFonts w:ascii="Times New Roman" w:hAnsi="Times New Roman"/>
          <w:sz w:val="24"/>
        </w:rPr>
        <w:t xml:space="preserve">Thelwall, M., Buckley, K., &amp; Paltoglou, G. (2011). </w:t>
      </w:r>
      <w:r>
        <w:rPr>
          <w:rFonts w:ascii="Times New Roman" w:hAnsi="Times New Roman"/>
          <w:sz w:val="24"/>
        </w:rPr>
        <w:t>Sentiment in Twitter events. Journal of the American Society for Information Science and Technology, 62(2), 406–418. https://doi.org/10.1002/asi.21462</w:t>
      </w:r>
    </w:p>
    <w:p>
      <w:pPr>
        <w:spacing w:before="0" w:after="240" w:line="480" w:lineRule="auto"/>
        <w:ind w:left="720" w:hanging="720"/>
        <w:jc w:val="both"/>
      </w:pPr>
      <w:r>
        <w:rPr>
          <w:rFonts w:ascii="Times New Roman" w:hAnsi="Times New Roman"/>
          <w:sz w:val="24"/>
        </w:rPr>
        <w:t xml:space="preserve">Vaswani, A., Shazeer, N., Parmar, N., Uszkoreit, J., Jones, L., Gomez, A. N., Kaiser, Ł., &amp; Polosukhin, I. (2017). </w:t>
      </w:r>
      <w:r>
        <w:rPr>
          <w:rFonts w:ascii="Times New Roman" w:hAnsi="Times New Roman"/>
          <w:sz w:val="24"/>
        </w:rPr>
        <w:t>Attention is all you need. Advances in Neural Information Processing Systems, 30, 5998–6008.</w:t>
      </w:r>
    </w:p>
    <w:p>
      <w:pPr>
        <w:spacing w:before="0" w:after="240" w:line="480" w:lineRule="auto"/>
        <w:ind w:left="720" w:hanging="720"/>
        <w:jc w:val="both"/>
      </w:pPr>
      <w:r>
        <w:rPr>
          <w:rFonts w:ascii="Times New Roman" w:hAnsi="Times New Roman"/>
          <w:sz w:val="24"/>
        </w:rPr>
        <w:t xml:space="preserve">Xu, L., Bhargava, M., Bhargava, S., &amp; Celik, E. (2014). </w:t>
      </w:r>
      <w:r>
        <w:rPr>
          <w:rFonts w:ascii="Times New Roman" w:hAnsi="Times New Roman"/>
          <w:sz w:val="24"/>
        </w:rPr>
        <w:t>Understanding the dynamics of YouTube comments: Temporal patterns and sentiment evolution. Proceedings of the 8th International AAAI Conference on Weblogs and Social Media.</w:t>
      </w:r>
    </w:p>
    <w:p>
      <w:pPr>
        <w:spacing w:before="0" w:after="240" w:line="480" w:lineRule="auto"/>
        <w:ind w:left="720" w:hanging="720"/>
        <w:jc w:val="both"/>
      </w:pPr>
      <w:r>
        <w:rPr>
          <w:rFonts w:ascii="Times New Roman" w:hAnsi="Times New Roman"/>
          <w:sz w:val="24"/>
        </w:rPr>
        <w:t xml:space="preserve">Zhang, L., Wang, S., &amp; Liu, B. (2018). </w:t>
      </w:r>
      <w:r>
        <w:rPr>
          <w:rFonts w:ascii="Times New Roman" w:hAnsi="Times New Roman"/>
          <w:sz w:val="24"/>
        </w:rPr>
        <w:t>Deep learning for sentiment analysis: A survey. WIREs Data Mining and Knowledge Discovery, 8(4), e1253. https://doi.org/10.1002/widm.1253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