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1C995" w14:textId="640CB910" w:rsidR="00D46859" w:rsidRPr="00384AF8" w:rsidRDefault="00D7704A" w:rsidP="006C6866">
      <w:pPr>
        <w:jc w:val="center"/>
        <w:rPr>
          <w:sz w:val="36"/>
          <w:szCs w:val="36"/>
        </w:rPr>
      </w:pPr>
      <w:r w:rsidRPr="00384AF8">
        <w:rPr>
          <w:sz w:val="36"/>
          <w:szCs w:val="36"/>
        </w:rPr>
        <w:t>TALLER DE CIENCIA DE DATOS</w:t>
      </w:r>
    </w:p>
    <w:p w14:paraId="2EF7A12F" w14:textId="77777777" w:rsidR="00D7704A" w:rsidRDefault="00D7704A"/>
    <w:p w14:paraId="0112B972" w14:textId="228E302D" w:rsidR="004D3DB3" w:rsidRPr="009700E1" w:rsidRDefault="003F6EA0">
      <w:pPr>
        <w:rPr>
          <w:b/>
          <w:bCs/>
        </w:rPr>
      </w:pPr>
      <w:r w:rsidRPr="009700E1">
        <w:rPr>
          <w:b/>
          <w:bCs/>
          <w:sz w:val="28"/>
          <w:szCs w:val="28"/>
        </w:rPr>
        <w:t>Parte I</w:t>
      </w:r>
      <w:r w:rsidR="009700E1" w:rsidRPr="009700E1">
        <w:rPr>
          <w:b/>
          <w:bCs/>
          <w:sz w:val="28"/>
          <w:szCs w:val="28"/>
        </w:rPr>
        <w:t xml:space="preserve"> 50 pts.</w:t>
      </w:r>
    </w:p>
    <w:p w14:paraId="141DECCE" w14:textId="77777777" w:rsidR="004D3DB3" w:rsidRDefault="004D3DB3"/>
    <w:p w14:paraId="779ABB1B" w14:textId="0848B767" w:rsidR="00D7704A" w:rsidRDefault="00D7704A" w:rsidP="009700E1">
      <w:pPr>
        <w:jc w:val="both"/>
      </w:pPr>
      <w:r>
        <w:t>Para este taller tenga en cuenta las siguientes variables que se tomaron de un</w:t>
      </w:r>
      <w:r w:rsidR="00384AF8">
        <w:t>a base de datos</w:t>
      </w:r>
      <w:r w:rsidR="000A6A99">
        <w:t xml:space="preserve">, </w:t>
      </w:r>
      <w:r w:rsidR="00384AF8">
        <w:t xml:space="preserve">sobre </w:t>
      </w:r>
      <w:r w:rsidR="00A61D5C">
        <w:t>el salario de varios individuos</w:t>
      </w:r>
      <w:r w:rsidR="00AA3C15">
        <w:t xml:space="preserve"> (hoja Taller5)</w:t>
      </w:r>
      <w:r w:rsidR="009700E1">
        <w:t xml:space="preserve">. Para la imputación de los datos utilice </w:t>
      </w:r>
      <w:proofErr w:type="spellStart"/>
      <w:r w:rsidR="009700E1" w:rsidRPr="009700E1">
        <w:t>IterativeImputer</w:t>
      </w:r>
      <w:proofErr w:type="spellEnd"/>
      <w:r w:rsidR="009700E1">
        <w:t>.</w:t>
      </w:r>
    </w:p>
    <w:p w14:paraId="3459BEA5" w14:textId="77777777" w:rsidR="00D7704A" w:rsidRDefault="00D7704A" w:rsidP="00AC1DE1">
      <w:pPr>
        <w:jc w:val="both"/>
      </w:pPr>
    </w:p>
    <w:p w14:paraId="28934883" w14:textId="315F8AB1" w:rsidR="00D7704A" w:rsidRPr="00A61D5C" w:rsidRDefault="00AA3C15" w:rsidP="00AC1DE1">
      <w:pPr>
        <w:ind w:left="2127" w:hanging="2127"/>
        <w:jc w:val="both"/>
      </w:pPr>
      <w:r>
        <w:t>Y</w:t>
      </w:r>
      <w:r w:rsidR="00D7704A">
        <w:t>:</w:t>
      </w:r>
      <w:r w:rsidR="00D7704A">
        <w:tab/>
      </w:r>
      <w:r w:rsidR="008B1EC2">
        <w:t>(</w:t>
      </w:r>
      <w:proofErr w:type="spellStart"/>
      <w:r w:rsidR="00A61D5C">
        <w:t>Education</w:t>
      </w:r>
      <w:proofErr w:type="spellEnd"/>
      <w:r w:rsidR="008B1EC2">
        <w:t xml:space="preserve">) </w:t>
      </w:r>
      <w:r w:rsidR="00A61D5C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Nivel de educación del individuo</w:t>
      </w:r>
      <w:r w:rsidR="00384AF8" w:rsidRPr="00A61D5C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.</w:t>
      </w:r>
    </w:p>
    <w:p w14:paraId="11D425B1" w14:textId="65FE4889" w:rsidR="00D7704A" w:rsidRDefault="0049372D" w:rsidP="00384AF8">
      <w:pPr>
        <w:ind w:left="2127" w:hanging="2127"/>
        <w:jc w:val="both"/>
      </w:pPr>
      <w:r>
        <w:t>X</w:t>
      </w:r>
      <w:r w:rsidR="00E54C9E" w:rsidRPr="00A61D5C">
        <w:rPr>
          <w:vertAlign w:val="subscript"/>
        </w:rPr>
        <w:t>1</w:t>
      </w:r>
      <w:r w:rsidR="00D7704A" w:rsidRPr="00A61D5C">
        <w:t>:</w:t>
      </w:r>
      <w:r w:rsidR="008B1EC2" w:rsidRPr="00A61D5C">
        <w:tab/>
        <w:t>(</w:t>
      </w:r>
      <w:r w:rsidR="00A61D5C">
        <w:t>Age</w:t>
      </w:r>
      <w:r w:rsidR="008B1EC2" w:rsidRPr="00A61D5C">
        <w:t xml:space="preserve">) </w:t>
      </w:r>
      <w:r w:rsidR="00A61D5C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Edad del individuo</w:t>
      </w:r>
      <w:r w:rsidR="00384AF8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.</w:t>
      </w:r>
    </w:p>
    <w:p w14:paraId="3AAB9172" w14:textId="60C5FC62" w:rsidR="00D7704A" w:rsidRDefault="0049372D" w:rsidP="00AC1DE1">
      <w:pPr>
        <w:ind w:left="2127" w:hanging="2127"/>
        <w:jc w:val="both"/>
      </w:pPr>
      <w:r>
        <w:t>X</w:t>
      </w:r>
      <w:r w:rsidR="00E54C9E">
        <w:rPr>
          <w:vertAlign w:val="subscript"/>
        </w:rPr>
        <w:t>2</w:t>
      </w:r>
      <w:r w:rsidR="00D7704A">
        <w:t>:</w:t>
      </w:r>
      <w:r w:rsidR="00D7704A">
        <w:tab/>
      </w:r>
      <w:r w:rsidR="008B1EC2">
        <w:t>(</w:t>
      </w:r>
      <w:proofErr w:type="spellStart"/>
      <w:r w:rsidR="00A61D5C">
        <w:t>Gender</w:t>
      </w:r>
      <w:proofErr w:type="spellEnd"/>
      <w:r w:rsidR="008B1EC2">
        <w:t xml:space="preserve">) </w:t>
      </w:r>
      <w:r w:rsidR="00A61D5C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Sexo del individuo</w:t>
      </w:r>
      <w:r w:rsidR="00384AF8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.</w:t>
      </w:r>
    </w:p>
    <w:p w14:paraId="18CC6EBE" w14:textId="01211678" w:rsidR="00D7704A" w:rsidRDefault="000836E3" w:rsidP="00384AF8">
      <w:pPr>
        <w:ind w:left="2127" w:hanging="2127"/>
        <w:jc w:val="both"/>
      </w:pPr>
      <w:r>
        <w:t>X</w:t>
      </w:r>
      <w:r w:rsidR="00E54C9E">
        <w:rPr>
          <w:vertAlign w:val="subscript"/>
        </w:rPr>
        <w:t>3</w:t>
      </w:r>
      <w:r w:rsidR="00D7704A">
        <w:t>:</w:t>
      </w:r>
      <w:r w:rsidR="008B1EC2">
        <w:tab/>
        <w:t>(</w:t>
      </w:r>
      <w:proofErr w:type="spellStart"/>
      <w:r w:rsidR="00A61D5C">
        <w:t>YearofExperience</w:t>
      </w:r>
      <w:proofErr w:type="spellEnd"/>
      <w:r w:rsidR="008B1EC2">
        <w:t xml:space="preserve">) </w:t>
      </w:r>
      <w:r w:rsidR="00A61D5C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Años de experiencia laboral del individuo</w:t>
      </w:r>
      <w:r w:rsidR="00384AF8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.</w:t>
      </w:r>
    </w:p>
    <w:p w14:paraId="1C4D64E0" w14:textId="70F145EA" w:rsidR="00D7704A" w:rsidRDefault="0049372D" w:rsidP="00384AF8">
      <w:pPr>
        <w:ind w:left="2127" w:hanging="2127"/>
        <w:jc w:val="both"/>
      </w:pPr>
      <w:r>
        <w:t>X</w:t>
      </w:r>
      <w:r w:rsidR="00E54C9E">
        <w:rPr>
          <w:vertAlign w:val="subscript"/>
        </w:rPr>
        <w:t>4</w:t>
      </w:r>
      <w:r w:rsidR="00D7704A">
        <w:t>:</w:t>
      </w:r>
      <w:r w:rsidR="008B1EC2">
        <w:tab/>
        <w:t>(</w:t>
      </w:r>
      <w:r w:rsidR="00A61D5C">
        <w:t>Job</w:t>
      </w:r>
      <w:r w:rsidR="008B1EC2">
        <w:t xml:space="preserve">) </w:t>
      </w:r>
      <w:r w:rsidR="00A61D5C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Tipo de trabajo del individuo</w:t>
      </w:r>
      <w:r w:rsidR="00384AF8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.</w:t>
      </w:r>
    </w:p>
    <w:p w14:paraId="0946D926" w14:textId="1219BA8F" w:rsidR="00D7704A" w:rsidRDefault="000836E3" w:rsidP="00384AF8">
      <w:pPr>
        <w:ind w:left="2127" w:hanging="2127"/>
        <w:jc w:val="both"/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t>X</w:t>
      </w:r>
      <w:r w:rsidR="00E54C9E">
        <w:rPr>
          <w:vertAlign w:val="subscript"/>
        </w:rPr>
        <w:t>5</w:t>
      </w:r>
      <w:r w:rsidR="00D7704A">
        <w:t>:</w:t>
      </w:r>
      <w:r w:rsidR="008B1EC2">
        <w:tab/>
        <w:t>(</w:t>
      </w:r>
      <w:proofErr w:type="spellStart"/>
      <w:r w:rsidR="00A61D5C">
        <w:t>Salary</w:t>
      </w:r>
      <w:proofErr w:type="spellEnd"/>
      <w:r w:rsidR="008B1EC2">
        <w:t xml:space="preserve">) </w:t>
      </w:r>
      <w:r w:rsidR="00A61D5C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Salario en unidades monetarias (UM) del individuo</w:t>
      </w:r>
      <w:r w:rsidR="00384AF8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.</w:t>
      </w:r>
    </w:p>
    <w:p w14:paraId="6E2376A2" w14:textId="77777777" w:rsidR="00A61D5C" w:rsidRDefault="00A61D5C" w:rsidP="00384AF8">
      <w:pPr>
        <w:ind w:left="2127" w:hanging="2127"/>
        <w:jc w:val="both"/>
      </w:pPr>
    </w:p>
    <w:p w14:paraId="2360E53C" w14:textId="77777777" w:rsidR="00D7704A" w:rsidRDefault="00D7704A" w:rsidP="00AC1DE1">
      <w:pPr>
        <w:jc w:val="both"/>
      </w:pPr>
    </w:p>
    <w:p w14:paraId="4B7E4F87" w14:textId="77777777" w:rsidR="00AA3C15" w:rsidRDefault="0049372D" w:rsidP="00AC1DE1">
      <w:pPr>
        <w:jc w:val="both"/>
      </w:pPr>
      <w:r>
        <w:t xml:space="preserve">Los </w:t>
      </w:r>
      <w:r w:rsidR="00AA3C15">
        <w:t>Árboles de decisión permiten hacer clasificación de los individuos</w:t>
      </w:r>
    </w:p>
    <w:p w14:paraId="7F5AA2BD" w14:textId="77777777" w:rsidR="00A4493B" w:rsidRDefault="00A4493B" w:rsidP="00AC1DE1">
      <w:pPr>
        <w:jc w:val="both"/>
        <w:rPr>
          <w:lang w:val="es-ES"/>
        </w:rPr>
      </w:pPr>
    </w:p>
    <w:p w14:paraId="243D1BD6" w14:textId="77777777" w:rsidR="004D3DB3" w:rsidRDefault="004D3DB3" w:rsidP="00AC1DE1">
      <w:pPr>
        <w:jc w:val="both"/>
        <w:rPr>
          <w:lang w:val="es-ES"/>
        </w:rPr>
      </w:pPr>
    </w:p>
    <w:p w14:paraId="534C75C0" w14:textId="469E8F76" w:rsidR="001502E6" w:rsidRDefault="001502E6" w:rsidP="00281D98">
      <w:pPr>
        <w:jc w:val="center"/>
        <w:rPr>
          <w:lang w:val="es-ES"/>
        </w:rPr>
      </w:pPr>
      <w:r>
        <w:rPr>
          <w:lang w:val="es-ES"/>
        </w:rPr>
        <w:t>Etapa 1</w:t>
      </w:r>
    </w:p>
    <w:p w14:paraId="5EC72722" w14:textId="77777777" w:rsidR="00A4493B" w:rsidRDefault="00A4493B" w:rsidP="0049372D">
      <w:pPr>
        <w:rPr>
          <w:lang w:val="es-ES"/>
        </w:rPr>
      </w:pPr>
    </w:p>
    <w:p w14:paraId="18B8E396" w14:textId="53221D34" w:rsidR="0049372D" w:rsidRDefault="00A4493B" w:rsidP="0049372D">
      <w:r>
        <w:rPr>
          <w:lang w:val="es-ES"/>
        </w:rPr>
        <w:t>Estime los siguientes modelos:</w:t>
      </w:r>
    </w:p>
    <w:p w14:paraId="4082CEE7" w14:textId="77777777" w:rsidR="00B02C61" w:rsidRPr="0049372D" w:rsidRDefault="00B02C61" w:rsidP="00AC1DE1">
      <w:pPr>
        <w:jc w:val="both"/>
      </w:pPr>
    </w:p>
    <w:p w14:paraId="01CFA428" w14:textId="77777777" w:rsidR="00B02C61" w:rsidRDefault="00B02C61" w:rsidP="00AC1DE1">
      <w:pPr>
        <w:jc w:val="both"/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1"/>
        <w:gridCol w:w="6380"/>
        <w:gridCol w:w="1276"/>
      </w:tblGrid>
      <w:tr w:rsidR="00AA3C15" w14:paraId="26D5950E" w14:textId="77777777" w:rsidTr="00AA3C15">
        <w:tc>
          <w:tcPr>
            <w:tcW w:w="561" w:type="dxa"/>
          </w:tcPr>
          <w:p w14:paraId="2EB12797" w14:textId="77777777" w:rsidR="00AA3C15" w:rsidRDefault="00AA3C15" w:rsidP="00160432">
            <w:pPr>
              <w:jc w:val="center"/>
            </w:pPr>
            <w:r>
              <w:t>#</w:t>
            </w:r>
          </w:p>
        </w:tc>
        <w:tc>
          <w:tcPr>
            <w:tcW w:w="6380" w:type="dxa"/>
          </w:tcPr>
          <w:p w14:paraId="5D48AA7D" w14:textId="77777777" w:rsidR="00AA3C15" w:rsidRDefault="00AA3C15" w:rsidP="00160432">
            <w:pPr>
              <w:jc w:val="center"/>
            </w:pPr>
            <w:r>
              <w:t>Modelo</w:t>
            </w:r>
          </w:p>
        </w:tc>
        <w:tc>
          <w:tcPr>
            <w:tcW w:w="1276" w:type="dxa"/>
          </w:tcPr>
          <w:p w14:paraId="619B88A2" w14:textId="410DEFA2" w:rsidR="00AA3C15" w:rsidRPr="00A4493B" w:rsidRDefault="009700E1" w:rsidP="001604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Métricas</w:t>
            </w:r>
          </w:p>
        </w:tc>
      </w:tr>
      <w:tr w:rsidR="00AA3C15" w14:paraId="24A77C4E" w14:textId="77777777" w:rsidTr="00AA3C15">
        <w:tc>
          <w:tcPr>
            <w:tcW w:w="561" w:type="dxa"/>
          </w:tcPr>
          <w:p w14:paraId="6AC40AA2" w14:textId="77777777" w:rsidR="00AA3C15" w:rsidRDefault="00AA3C15" w:rsidP="00160432">
            <w:r>
              <w:t>(1)</w:t>
            </w:r>
          </w:p>
        </w:tc>
        <w:tc>
          <w:tcPr>
            <w:tcW w:w="6380" w:type="dxa"/>
          </w:tcPr>
          <w:p w14:paraId="7DD8CCCD" w14:textId="30E6D308" w:rsidR="00AA3C15" w:rsidRPr="00A4493B" w:rsidRDefault="00AA3C15" w:rsidP="00160432">
            <w:pPr>
              <w:jc w:val="center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Education en función de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AF2EE2A" w14:textId="41F5B8E1" w:rsidR="00AA3C15" w:rsidRPr="00A4493B" w:rsidRDefault="00AA3C15" w:rsidP="00160432">
            <w:pPr>
              <w:rPr>
                <w:color w:val="00B0F0"/>
              </w:rPr>
            </w:pPr>
          </w:p>
        </w:tc>
      </w:tr>
      <w:tr w:rsidR="00AA3C15" w14:paraId="2C8B6ACD" w14:textId="77777777" w:rsidTr="00AA3C15">
        <w:tc>
          <w:tcPr>
            <w:tcW w:w="561" w:type="dxa"/>
          </w:tcPr>
          <w:p w14:paraId="48588068" w14:textId="77777777" w:rsidR="00AA3C15" w:rsidRDefault="00AA3C15" w:rsidP="00160432">
            <w:r>
              <w:t>(2)</w:t>
            </w:r>
          </w:p>
        </w:tc>
        <w:tc>
          <w:tcPr>
            <w:tcW w:w="6380" w:type="dxa"/>
          </w:tcPr>
          <w:p w14:paraId="06430398" w14:textId="0FF24C04" w:rsidR="00AA3C15" w:rsidRPr="00A4493B" w:rsidRDefault="00AA3C15" w:rsidP="00160432">
            <w:pPr>
              <w:jc w:val="center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Education en función de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A37DFA4" w14:textId="0AC25ECB" w:rsidR="00AA3C15" w:rsidRPr="00A4493B" w:rsidRDefault="00AA3C15" w:rsidP="00160432">
            <w:pPr>
              <w:rPr>
                <w:color w:val="00B0F0"/>
              </w:rPr>
            </w:pPr>
          </w:p>
        </w:tc>
      </w:tr>
      <w:tr w:rsidR="00AA3C15" w14:paraId="3B52D5DD" w14:textId="77777777" w:rsidTr="00AA3C15">
        <w:tc>
          <w:tcPr>
            <w:tcW w:w="561" w:type="dxa"/>
          </w:tcPr>
          <w:p w14:paraId="7B8CF43D" w14:textId="77777777" w:rsidR="00AA3C15" w:rsidRDefault="00AA3C15" w:rsidP="00160432">
            <w:r>
              <w:t>(3)</w:t>
            </w:r>
          </w:p>
        </w:tc>
        <w:tc>
          <w:tcPr>
            <w:tcW w:w="6380" w:type="dxa"/>
          </w:tcPr>
          <w:p w14:paraId="6982CA15" w14:textId="52451923" w:rsidR="00AA3C15" w:rsidRPr="00A4493B" w:rsidRDefault="00AA3C15" w:rsidP="00160432">
            <w:pPr>
              <w:jc w:val="center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Education en función de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22CCA1E" w14:textId="5DBB370F" w:rsidR="00AA3C15" w:rsidRPr="00A4493B" w:rsidRDefault="00AA3C15" w:rsidP="00160432">
            <w:pPr>
              <w:rPr>
                <w:color w:val="00B0F0"/>
              </w:rPr>
            </w:pPr>
          </w:p>
        </w:tc>
      </w:tr>
      <w:tr w:rsidR="00AA3C15" w14:paraId="5AC9F56C" w14:textId="77777777" w:rsidTr="00AA3C15">
        <w:tc>
          <w:tcPr>
            <w:tcW w:w="561" w:type="dxa"/>
          </w:tcPr>
          <w:p w14:paraId="73E34797" w14:textId="77777777" w:rsidR="00AA3C15" w:rsidRDefault="00AA3C15" w:rsidP="00160432">
            <w:r>
              <w:t>(4)</w:t>
            </w:r>
          </w:p>
        </w:tc>
        <w:tc>
          <w:tcPr>
            <w:tcW w:w="6380" w:type="dxa"/>
          </w:tcPr>
          <w:p w14:paraId="713E508E" w14:textId="3849F416" w:rsidR="00AA3C15" w:rsidRPr="00A4493B" w:rsidRDefault="00AA3C15" w:rsidP="00160432">
            <w:pPr>
              <w:jc w:val="center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Education en función de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28DDA9DB" w14:textId="723C25D2" w:rsidR="00AA3C15" w:rsidRPr="00A4493B" w:rsidRDefault="00AA3C15" w:rsidP="00160432">
            <w:pPr>
              <w:rPr>
                <w:color w:val="00B0F0"/>
              </w:rPr>
            </w:pPr>
          </w:p>
        </w:tc>
      </w:tr>
      <w:tr w:rsidR="00AA3C15" w14:paraId="09FDF51F" w14:textId="77777777" w:rsidTr="00AA3C15">
        <w:tc>
          <w:tcPr>
            <w:tcW w:w="561" w:type="dxa"/>
          </w:tcPr>
          <w:p w14:paraId="10D91949" w14:textId="77777777" w:rsidR="00AA3C15" w:rsidRDefault="00AA3C15" w:rsidP="0049372D">
            <w:r>
              <w:t>(5)</w:t>
            </w:r>
          </w:p>
        </w:tc>
        <w:tc>
          <w:tcPr>
            <w:tcW w:w="6380" w:type="dxa"/>
          </w:tcPr>
          <w:p w14:paraId="73ABD251" w14:textId="348E3437" w:rsidR="00AA3C15" w:rsidRPr="00A4493B" w:rsidRDefault="00AA3C15" w:rsidP="0049372D">
            <w:pPr>
              <w:jc w:val="center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Education en función de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975DF23" w14:textId="0883CE4C" w:rsidR="00AA3C15" w:rsidRPr="00A4493B" w:rsidRDefault="00AA3C15" w:rsidP="0049372D">
            <w:pPr>
              <w:rPr>
                <w:color w:val="00B0F0"/>
              </w:rPr>
            </w:pPr>
          </w:p>
        </w:tc>
      </w:tr>
      <w:tr w:rsidR="00AA3C15" w14:paraId="6D6FAC76" w14:textId="77777777" w:rsidTr="00AA3C15">
        <w:tc>
          <w:tcPr>
            <w:tcW w:w="561" w:type="dxa"/>
          </w:tcPr>
          <w:p w14:paraId="6EB14A99" w14:textId="77777777" w:rsidR="00AA3C15" w:rsidRDefault="00AA3C15" w:rsidP="0049372D">
            <w:r>
              <w:t>(6)</w:t>
            </w:r>
          </w:p>
        </w:tc>
        <w:tc>
          <w:tcPr>
            <w:tcW w:w="6380" w:type="dxa"/>
          </w:tcPr>
          <w:p w14:paraId="2287D375" w14:textId="7F822951" w:rsidR="00AA3C15" w:rsidRPr="002D26B9" w:rsidRDefault="00AA3C15" w:rsidP="0049372D">
            <w:pPr>
              <w:jc w:val="center"/>
            </w:pPr>
          </w:p>
        </w:tc>
        <w:tc>
          <w:tcPr>
            <w:tcW w:w="1276" w:type="dxa"/>
          </w:tcPr>
          <w:p w14:paraId="464F5B55" w14:textId="77777777" w:rsidR="00AA3C15" w:rsidRPr="00A4493B" w:rsidRDefault="00AA3C15" w:rsidP="0049372D">
            <w:pPr>
              <w:jc w:val="center"/>
              <w:rPr>
                <w:color w:val="00B0F0"/>
              </w:rPr>
            </w:pPr>
          </w:p>
        </w:tc>
      </w:tr>
    </w:tbl>
    <w:p w14:paraId="76FE6794" w14:textId="77777777" w:rsidR="0049372D" w:rsidRDefault="0049372D" w:rsidP="00AC1DE1">
      <w:pPr>
        <w:jc w:val="both"/>
        <w:rPr>
          <w:lang w:val="es-ES"/>
        </w:rPr>
      </w:pPr>
    </w:p>
    <w:p w14:paraId="4840561D" w14:textId="77777777" w:rsidR="0049372D" w:rsidRDefault="0049372D" w:rsidP="00AC1DE1">
      <w:pPr>
        <w:jc w:val="both"/>
        <w:rPr>
          <w:lang w:val="es-ES"/>
        </w:rPr>
      </w:pPr>
    </w:p>
    <w:p w14:paraId="7172A156" w14:textId="77777777" w:rsidR="00A4493B" w:rsidRDefault="00A4493B" w:rsidP="00A4493B">
      <w:pPr>
        <w:jc w:val="both"/>
      </w:pPr>
      <w:r>
        <w:t>Que modelo seleccionó e interprételo y realice un pronóstico con datos inventados</w:t>
      </w:r>
    </w:p>
    <w:p w14:paraId="55A450C9" w14:textId="77777777" w:rsidR="00A4493B" w:rsidRDefault="00A4493B" w:rsidP="00A4493B"/>
    <w:p w14:paraId="3E69F7B9" w14:textId="77777777" w:rsidR="0049372D" w:rsidRDefault="0049372D" w:rsidP="00AC1DE1">
      <w:pPr>
        <w:jc w:val="both"/>
        <w:rPr>
          <w:lang w:val="es-CL"/>
        </w:rPr>
      </w:pPr>
    </w:p>
    <w:p w14:paraId="35F2C07E" w14:textId="77777777" w:rsidR="003F6EA0" w:rsidRDefault="003F6EA0" w:rsidP="00AC1DE1">
      <w:pPr>
        <w:jc w:val="both"/>
        <w:rPr>
          <w:lang w:val="es-CL"/>
        </w:rPr>
      </w:pPr>
    </w:p>
    <w:p w14:paraId="7FA63D9E" w14:textId="77777777" w:rsidR="003F6EA0" w:rsidRDefault="003F6EA0" w:rsidP="00AC1DE1">
      <w:pPr>
        <w:jc w:val="both"/>
        <w:rPr>
          <w:lang w:val="es-CL"/>
        </w:rPr>
      </w:pPr>
    </w:p>
    <w:p w14:paraId="5E74BD8E" w14:textId="77777777" w:rsidR="003F6EA0" w:rsidRDefault="003F6EA0" w:rsidP="00AC1DE1">
      <w:pPr>
        <w:jc w:val="both"/>
        <w:rPr>
          <w:lang w:val="es-CL"/>
        </w:rPr>
      </w:pPr>
    </w:p>
    <w:p w14:paraId="675D7DF1" w14:textId="77777777" w:rsidR="003F6EA0" w:rsidRDefault="003F6EA0" w:rsidP="00AC1DE1">
      <w:pPr>
        <w:jc w:val="both"/>
        <w:rPr>
          <w:lang w:val="es-CL"/>
        </w:rPr>
      </w:pPr>
    </w:p>
    <w:p w14:paraId="37024BA8" w14:textId="77777777" w:rsidR="003F6EA0" w:rsidRDefault="003F6EA0" w:rsidP="00AC1DE1">
      <w:pPr>
        <w:jc w:val="both"/>
        <w:rPr>
          <w:lang w:val="es-CL"/>
        </w:rPr>
      </w:pPr>
    </w:p>
    <w:p w14:paraId="735EF592" w14:textId="77777777" w:rsidR="003F6EA0" w:rsidRDefault="003F6EA0" w:rsidP="00AC1DE1">
      <w:pPr>
        <w:jc w:val="both"/>
        <w:rPr>
          <w:lang w:val="es-CL"/>
        </w:rPr>
      </w:pPr>
    </w:p>
    <w:p w14:paraId="1CF69489" w14:textId="77777777" w:rsidR="003F6EA0" w:rsidRDefault="003F6EA0" w:rsidP="00AC1DE1">
      <w:pPr>
        <w:jc w:val="both"/>
        <w:rPr>
          <w:lang w:val="es-CL"/>
        </w:rPr>
      </w:pPr>
    </w:p>
    <w:p w14:paraId="1B8C3142" w14:textId="77777777" w:rsidR="003F6EA0" w:rsidRDefault="003F6EA0" w:rsidP="00AC1DE1">
      <w:pPr>
        <w:jc w:val="both"/>
        <w:rPr>
          <w:lang w:val="es-CL"/>
        </w:rPr>
      </w:pPr>
    </w:p>
    <w:p w14:paraId="7DB19FA9" w14:textId="77777777" w:rsidR="003F6EA0" w:rsidRDefault="003F6EA0" w:rsidP="00AC1DE1">
      <w:pPr>
        <w:jc w:val="both"/>
        <w:rPr>
          <w:lang w:val="es-CL"/>
        </w:rPr>
      </w:pPr>
    </w:p>
    <w:p w14:paraId="1D826E97" w14:textId="77777777" w:rsidR="003F6EA0" w:rsidRDefault="003F6EA0" w:rsidP="00AC1DE1">
      <w:pPr>
        <w:jc w:val="both"/>
        <w:rPr>
          <w:lang w:val="es-CL"/>
        </w:rPr>
      </w:pPr>
    </w:p>
    <w:p w14:paraId="3D955598" w14:textId="77777777" w:rsidR="003F6EA0" w:rsidRDefault="003F6EA0" w:rsidP="00AC1DE1">
      <w:pPr>
        <w:jc w:val="both"/>
        <w:rPr>
          <w:lang w:val="es-CL"/>
        </w:rPr>
      </w:pPr>
    </w:p>
    <w:p w14:paraId="46ECDF5A" w14:textId="59C73108" w:rsidR="003F6EA0" w:rsidRPr="009700E1" w:rsidRDefault="003F6EA0" w:rsidP="00AC1DE1">
      <w:pPr>
        <w:jc w:val="both"/>
        <w:rPr>
          <w:b/>
          <w:bCs/>
          <w:lang w:val="es-CL"/>
        </w:rPr>
      </w:pPr>
      <w:r w:rsidRPr="009700E1">
        <w:rPr>
          <w:b/>
          <w:bCs/>
          <w:lang w:val="es-CL"/>
        </w:rPr>
        <w:t>Parte II</w:t>
      </w:r>
      <w:r w:rsidR="009700E1" w:rsidRPr="009700E1">
        <w:rPr>
          <w:b/>
          <w:bCs/>
          <w:lang w:val="es-CL"/>
        </w:rPr>
        <w:t xml:space="preserve"> 50 pts.</w:t>
      </w:r>
    </w:p>
    <w:p w14:paraId="7F16212F" w14:textId="77777777" w:rsidR="003F6EA0" w:rsidRDefault="003F6EA0" w:rsidP="00AC1DE1">
      <w:pPr>
        <w:jc w:val="both"/>
        <w:rPr>
          <w:lang w:val="es-CL"/>
        </w:rPr>
      </w:pPr>
    </w:p>
    <w:p w14:paraId="2842C307" w14:textId="217436BC" w:rsidR="003F6EA0" w:rsidRDefault="009700E1" w:rsidP="009700E1">
      <w:pPr>
        <w:jc w:val="both"/>
        <w:rPr>
          <w:lang w:val="es-ES"/>
        </w:rPr>
      </w:pPr>
      <w:r w:rsidRPr="009700E1">
        <w:t xml:space="preserve">Desarrolla una actividad de análisis predictivo aplicando la metodología CRISP-DM al </w:t>
      </w:r>
      <w:proofErr w:type="spellStart"/>
      <w:r w:rsidRPr="009700E1">
        <w:t>dataset</w:t>
      </w:r>
      <w:proofErr w:type="spellEnd"/>
      <w:r w:rsidRPr="009700E1">
        <w:t xml:space="preserve"> del </w:t>
      </w:r>
      <w:proofErr w:type="spellStart"/>
      <w:r w:rsidRPr="009700E1">
        <w:t>Titanic</w:t>
      </w:r>
      <w:proofErr w:type="spellEnd"/>
      <w:r w:rsidRPr="009700E1">
        <w:t>, con el objetivo de construir y evaluar un modelo de clasificación que permita predecir la supervivencia de los pasajeros. Para ello, deberás comprender el contexto del problema, explorar y preparar adecuadamente los datos mediante la imputación de valores faltantes y la transformación de variables, iterando sobre diferentes estrategias de imputación multivariable para comparar su impacto en el rendimiento del modelo, aplicar y evaluar diversos algoritmos de clasificación supervisada</w:t>
      </w:r>
      <w:r>
        <w:t xml:space="preserve"> vistos en clases,</w:t>
      </w:r>
      <w:r w:rsidRPr="009700E1">
        <w:t xml:space="preserve"> utilizando métricas c</w:t>
      </w:r>
      <w:r>
        <w:t>orrespondientes</w:t>
      </w:r>
      <w:r w:rsidRPr="009700E1">
        <w:t>, identifica</w:t>
      </w:r>
      <w:r>
        <w:t>ndo</w:t>
      </w:r>
      <w:r w:rsidRPr="009700E1">
        <w:t xml:space="preserve"> las variables más influyentes en la predicción, y justificar la elección del modelo final con base en su rendimiento y valor explicativo.</w:t>
      </w:r>
    </w:p>
    <w:p w14:paraId="52B7EEAC" w14:textId="77777777" w:rsidR="0049372D" w:rsidRPr="00AA3C15" w:rsidRDefault="0049372D" w:rsidP="00AC1DE1">
      <w:pPr>
        <w:jc w:val="both"/>
        <w:rPr>
          <w:lang w:val="es-CL"/>
        </w:rPr>
      </w:pPr>
    </w:p>
    <w:p w14:paraId="043F2D6E" w14:textId="77777777" w:rsidR="00EF1A69" w:rsidRPr="00AA3C15" w:rsidRDefault="00EF1A69" w:rsidP="00AC1DE1">
      <w:pPr>
        <w:jc w:val="both"/>
        <w:rPr>
          <w:lang w:val="es-CL"/>
        </w:rPr>
      </w:pPr>
    </w:p>
    <w:p w14:paraId="78BA8B26" w14:textId="77777777" w:rsidR="00A4493B" w:rsidRDefault="00A4493B" w:rsidP="00AC1DE1">
      <w:pPr>
        <w:jc w:val="both"/>
        <w:rPr>
          <w:lang w:val="es-ES"/>
        </w:rPr>
      </w:pPr>
    </w:p>
    <w:p w14:paraId="34A8C094" w14:textId="77777777" w:rsidR="00A4493B" w:rsidRDefault="00A4493B" w:rsidP="00AC1DE1">
      <w:pPr>
        <w:jc w:val="both"/>
        <w:rPr>
          <w:lang w:val="es-ES"/>
        </w:rPr>
      </w:pPr>
    </w:p>
    <w:p w14:paraId="557FF580" w14:textId="77777777" w:rsidR="00A4493B" w:rsidRDefault="00A4493B" w:rsidP="00AC1DE1">
      <w:pPr>
        <w:jc w:val="both"/>
        <w:rPr>
          <w:lang w:val="es-ES"/>
        </w:rPr>
      </w:pPr>
    </w:p>
    <w:p w14:paraId="7FFC276F" w14:textId="77777777" w:rsidR="00A4493B" w:rsidRPr="00A4493B" w:rsidRDefault="00A4493B" w:rsidP="00AC1DE1">
      <w:pPr>
        <w:jc w:val="both"/>
      </w:pPr>
    </w:p>
    <w:sectPr w:rsidR="00A4493B" w:rsidRPr="00A44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3ACD"/>
    <w:multiLevelType w:val="hybridMultilevel"/>
    <w:tmpl w:val="DC6A643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D1813"/>
    <w:multiLevelType w:val="hybridMultilevel"/>
    <w:tmpl w:val="C95A3D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C0972"/>
    <w:multiLevelType w:val="hybridMultilevel"/>
    <w:tmpl w:val="7E88B29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74CA0"/>
    <w:multiLevelType w:val="hybridMultilevel"/>
    <w:tmpl w:val="D96CC6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524734">
    <w:abstractNumId w:val="2"/>
  </w:num>
  <w:num w:numId="2" w16cid:durableId="1806505960">
    <w:abstractNumId w:val="1"/>
  </w:num>
  <w:num w:numId="3" w16cid:durableId="178664647">
    <w:abstractNumId w:val="0"/>
  </w:num>
  <w:num w:numId="4" w16cid:durableId="1650749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4A"/>
    <w:rsid w:val="00026A38"/>
    <w:rsid w:val="0004127D"/>
    <w:rsid w:val="000836E3"/>
    <w:rsid w:val="00090BF9"/>
    <w:rsid w:val="000A6A99"/>
    <w:rsid w:val="001144A2"/>
    <w:rsid w:val="001502E6"/>
    <w:rsid w:val="001E2E3E"/>
    <w:rsid w:val="00251D03"/>
    <w:rsid w:val="00281D98"/>
    <w:rsid w:val="002D26B9"/>
    <w:rsid w:val="002F2783"/>
    <w:rsid w:val="003444AF"/>
    <w:rsid w:val="00384AF8"/>
    <w:rsid w:val="00385E1E"/>
    <w:rsid w:val="003C4A02"/>
    <w:rsid w:val="003C7760"/>
    <w:rsid w:val="003F420A"/>
    <w:rsid w:val="003F6EA0"/>
    <w:rsid w:val="00433284"/>
    <w:rsid w:val="00435453"/>
    <w:rsid w:val="00475EBA"/>
    <w:rsid w:val="0049372D"/>
    <w:rsid w:val="004D1E4F"/>
    <w:rsid w:val="004D3DB3"/>
    <w:rsid w:val="004F0873"/>
    <w:rsid w:val="005659DB"/>
    <w:rsid w:val="00613E55"/>
    <w:rsid w:val="006C6866"/>
    <w:rsid w:val="007462B1"/>
    <w:rsid w:val="00762A4F"/>
    <w:rsid w:val="00781D4E"/>
    <w:rsid w:val="007D245B"/>
    <w:rsid w:val="00800A09"/>
    <w:rsid w:val="008335C2"/>
    <w:rsid w:val="00836CA8"/>
    <w:rsid w:val="008448F1"/>
    <w:rsid w:val="00880151"/>
    <w:rsid w:val="008B1EC2"/>
    <w:rsid w:val="009700E1"/>
    <w:rsid w:val="009F005E"/>
    <w:rsid w:val="00A17C7E"/>
    <w:rsid w:val="00A372D7"/>
    <w:rsid w:val="00A4493B"/>
    <w:rsid w:val="00A61D5C"/>
    <w:rsid w:val="00AA3C15"/>
    <w:rsid w:val="00AA5F92"/>
    <w:rsid w:val="00AB15D4"/>
    <w:rsid w:val="00AC1DE1"/>
    <w:rsid w:val="00AC4C96"/>
    <w:rsid w:val="00AD7BEA"/>
    <w:rsid w:val="00B02C61"/>
    <w:rsid w:val="00B7388E"/>
    <w:rsid w:val="00CD71A4"/>
    <w:rsid w:val="00D06D2B"/>
    <w:rsid w:val="00D42716"/>
    <w:rsid w:val="00D44263"/>
    <w:rsid w:val="00D46859"/>
    <w:rsid w:val="00D60BC7"/>
    <w:rsid w:val="00D66B03"/>
    <w:rsid w:val="00D7704A"/>
    <w:rsid w:val="00D8485C"/>
    <w:rsid w:val="00E1649E"/>
    <w:rsid w:val="00E54C9E"/>
    <w:rsid w:val="00EE1C46"/>
    <w:rsid w:val="00EF1A69"/>
    <w:rsid w:val="00F026E5"/>
    <w:rsid w:val="00F34264"/>
    <w:rsid w:val="00FE6B97"/>
    <w:rsid w:val="00F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3D4F"/>
  <w15:chartTrackingRefBased/>
  <w15:docId w15:val="{75851CF3-E6F3-7E4A-A5DB-36BC3102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77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0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0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0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0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0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0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04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04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04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04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04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04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04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D770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04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0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04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D770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04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D770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0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04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D7704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83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836E3"/>
    <w:rPr>
      <w:color w:val="66666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4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s-CL"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44AF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02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L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2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Henry Rios Griego</dc:creator>
  <cp:keywords/>
  <dc:description/>
  <cp:lastModifiedBy>Omar Salinas Silva</cp:lastModifiedBy>
  <cp:revision>2</cp:revision>
  <dcterms:created xsi:type="dcterms:W3CDTF">2025-04-09T14:06:00Z</dcterms:created>
  <dcterms:modified xsi:type="dcterms:W3CDTF">2025-04-09T14:06:00Z</dcterms:modified>
</cp:coreProperties>
</file>