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6233A" w:color="auto" w:val="clear"/>
            <w:tcMar>
              <w:top w:type="dxa" w:w="250"/>
              <w:left w:type="dxa" w:w="300"/>
              <w:bottom w:type="dxa" w:w="250"/>
              <w:right w:type="dxa" w:w="3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Define cómo vas a saber si tu proyecto funciona, y en qué punto lo pausarías o cancelarías.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Nombre: </w:t>
      </w:r>
      <w:r>
        <w:rPr>
          <w:sz w:val="22"/>
          <w:szCs w:val="22"/>
          <w:u w:val="single"/>
        </w:rPr>
        <w:t xml:space="preserve">Fer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Área: </w:t>
      </w:r>
      <w:r>
        <w:rPr>
          <w:sz w:val="22"/>
          <w:szCs w:val="22"/>
          <w:u w:val="single"/>
        </w:rPr>
        <w:t xml:space="preserve">Alianzas Estratégicas · Inter.mx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Proyecto de IA a evaluar: </w:t>
      </w:r>
      <w:r>
        <w:rPr>
          <w:sz w:val="22"/>
          <w:szCs w:val="22"/>
          <w:u w:val="single"/>
        </w:rPr>
        <w:t xml:space="preserve">Agentes de IA para Hunting de Alianzas Estratégicas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5FA3"/>
                <w:sz w:val="24"/>
                <w:szCs w:val="24"/>
              </w:rPr>
              <w:t xml:space="preserve">● </w:t>
            </w:r>
            <w:r>
              <w:rPr>
                <w:b/>
                <w:bCs/>
                <w:color w:val="16233A"/>
                <w:sz w:val="24"/>
                <w:szCs w:val="24"/>
              </w:rPr>
              <w:t xml:space="preserve">Métrica líder</w:t>
            </w:r>
          </w:p>
          <w:tbl>
            <w:tblPr>
              <w:tblW w:type="dxa" w:w="4475"/>
              <w:tblBorders>
                <w:top w:val="single" w:color="2E5FA3" w:sz="4"/>
                <w:left w:val="single" w:color="2E5FA3" w:sz="24"/>
                <w:bottom w:val="single" w:color="2E5FA3" w:sz="4"/>
                <w:right w:val="single" w:color="2E5FA3" w:sz="4"/>
                <w:insideH w:val="single" w:color="auto" w:sz="4"/>
                <w:insideV w:val="single" w:color="auto" w:sz="4"/>
              </w:tblBorders>
            </w:tblPr>
            <w:tblGrid>
              <w:gridCol w:w="4475"/>
            </w:tblGrid>
            <w:tr>
              <w:tc>
                <w:tcPr>
                  <w:tcW w:type="dxa" w:w="4475"/>
                  <w:shd w:fill="F4F6F5" w:color="auto" w:val="clear"/>
                  <w:tcMar>
                    <w:top w:type="dxa" w:w="150"/>
                    <w:left w:type="dxa" w:w="200"/>
                    <w:bottom w:type="dxa" w:w="150"/>
                    <w:right w:type="dxa" w:w="200"/>
                  </w:tcMar>
                </w:tcPr>
                <w:p>
                  <w:pPr>
                    <w:spacing w:after="120"/>
                  </w:pPr>
                  <w:r>
                    <w:rPr>
                      <w:b/>
                      <w:bCs/>
                      <w:color w:val="2E5FA3"/>
                      <w:sz w:val="19"/>
                      <w:szCs w:val="19"/>
                    </w:rPr>
                    <w:t xml:space="preserve">SEÑAL TEMPRANA DE ADOPCIÓN O USO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Volumen de leads identificados semanalmente por el Agente Hunter.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Tasa de respuesta a los mensajes de contacto del Agente Outreach.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Son las primeras señales de que el sistema genera actividad real en el embudo, antes de ver resultados de negocio.</w:t>
                  </w:r>
                </w:p>
              </w:tc>
            </w:tr>
          </w:tbl>
          <w:p/>
        </w:tc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97B3F"/>
                <w:sz w:val="24"/>
                <w:szCs w:val="24"/>
              </w:rPr>
              <w:t xml:space="preserve">● </w:t>
            </w:r>
            <w:r>
              <w:rPr>
                <w:b/>
                <w:bCs/>
                <w:color w:val="16233A"/>
                <w:sz w:val="24"/>
                <w:szCs w:val="24"/>
              </w:rPr>
              <w:t xml:space="preserve">Métrica de negocio</w:t>
            </w:r>
          </w:p>
          <w:tbl>
            <w:tblPr>
              <w:tblW w:type="dxa" w:w="4475"/>
              <w:tblBorders>
                <w:top w:val="single" w:color="D97B3F" w:sz="4"/>
                <w:left w:val="single" w:color="D97B3F" w:sz="24"/>
                <w:bottom w:val="single" w:color="D97B3F" w:sz="4"/>
                <w:right w:val="single" w:color="D97B3F" w:sz="4"/>
                <w:insideH w:val="single" w:color="auto" w:sz="4"/>
                <w:insideV w:val="single" w:color="auto" w:sz="4"/>
              </w:tblBorders>
            </w:tblPr>
            <w:tblGrid>
              <w:gridCol w:w="4475"/>
            </w:tblGrid>
            <w:tr>
              <w:tc>
                <w:tcPr>
                  <w:tcW w:type="dxa" w:w="4475"/>
                  <w:shd w:fill="F4F6F5" w:color="auto" w:val="clear"/>
                  <w:tcMar>
                    <w:top w:type="dxa" w:w="150"/>
                    <w:left w:type="dxa" w:w="200"/>
                    <w:bottom w:type="dxa" w:w="150"/>
                    <w:right w:type="dxa" w:w="200"/>
                  </w:tcMar>
                </w:tcPr>
                <w:p>
                  <w:pPr>
                    <w:spacing w:after="120"/>
                  </w:pPr>
                  <w:r>
                    <w:rPr>
                      <w:b/>
                      <w:bCs/>
                      <w:color w:val="D97B3F"/>
                      <w:sz w:val="19"/>
                      <w:szCs w:val="19"/>
                    </w:rPr>
                    <w:t xml:space="preserve">RESULTADO FINAL: COSTO, INGRESO, SATISFACCIÓN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Número de citas agendadas y alianzas cerradas por mes.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Reducción del tiempo de ciclo completo (línea base actual: ~6 meses).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Es el impacto que finalmente justifica la inversión en el ecosistema de agentes.</w:t>
                  </w:r>
                </w:p>
              </w:tc>
            </w:tr>
          </w:tbl>
          <w:p/>
        </w:tc>
      </w:tr>
    </w:tbl>
    <w:p>
      <w:pPr>
        <w:spacing w:after="100" w:before="300"/>
      </w:pPr>
      <w:r>
        <w:rPr>
          <w:b/>
          <w:bCs/>
          <w:color w:val="2E7D32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Criterio para ESCALAR</w:t>
      </w:r>
    </w:p>
    <w:tbl>
      <w:tblPr>
        <w:tblW w:type="dxa" w:w="9350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6F5" w:color="auto" w:val="clear"/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3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¿QUÉ RESULTADO SOSTENIDO CONFIRMA QUE DEBEMOS CRECER ESTA INICIATIVA?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Aumento sostenido (2–3 meses consecutivos) en citas agendadas por mes frente a la línea base actual.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Sin caída en la tasa de conversión de cita a cierre respecto al proceso manual.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Exactitud de datos en CRM &gt;99.9%, conforme a la meta ya definida para el Agente Orquestador.</w:t>
            </w:r>
          </w:p>
        </w:tc>
      </w:tr>
    </w:tbl>
    <w:p>
      <w:pPr>
        <w:spacing w:after="100" w:before="300"/>
      </w:pPr>
      <w:r>
        <w:rPr>
          <w:b/>
          <w:bCs/>
          <w:color w:val="D97B3F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Criterio para AJUSTAR</w:t>
      </w:r>
    </w:p>
    <w:tbl>
      <w:tblPr>
        <w:tblW w:type="dxa" w:w="9350"/>
        <w:tblBorders>
          <w:top w:val="single" w:color="D97B3F" w:sz="4"/>
          <w:left w:val="single" w:color="D97B3F" w:sz="24"/>
          <w:bottom w:val="single" w:color="D97B3F" w:sz="4"/>
          <w:right w:val="single" w:color="D97B3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6F5" w:color="auto" w:val="clear"/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30"/>
            </w:pPr>
            <w:r>
              <w:rPr>
                <w:b/>
                <w:bCs/>
                <w:color w:val="D97B3F"/>
                <w:sz w:val="20"/>
                <w:szCs w:val="20"/>
              </w:rPr>
              <w:t xml:space="preserve">¿QUÉ SEÑAL INDICA QUE FUNCIONA PARCIALMENTE Y HAY QUE CORREGIR?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El sistema genera volumen de leads o citas, pero con baja precisión de pre-calificación (Agente Hunter).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Tasa de falsos positivos en alertas de cartera por encima de lo aceptable (Agente Supervisor).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Señal de que hay que afinar reglas de scoring o plantillas de mensaje, no de que el enfoque esté equivocado.</w:t>
            </w:r>
          </w:p>
        </w:tc>
      </w:tr>
    </w:tbl>
    <w:p>
      <w:pPr>
        <w:spacing w:after="100" w:before="300"/>
      </w:pPr>
      <w:r>
        <w:rPr>
          <w:b/>
          <w:bCs/>
          <w:color w:val="A32626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Criterio para CANCELAR / PAUSAR</w:t>
      </w:r>
    </w:p>
    <w:tbl>
      <w:tblPr>
        <w:tblW w:type="dxa" w:w="9350"/>
        <w:tblBorders>
          <w:top w:val="single" w:color="A32626" w:sz="4"/>
          <w:left w:val="single" w:color="A32626" w:sz="24"/>
          <w:bottom w:val="single" w:color="A32626" w:sz="4"/>
          <w:right w:val="single" w:color="A32626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6F5" w:color="auto" w:val="clear"/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30"/>
            </w:pPr>
            <w:r>
              <w:rPr>
                <w:b/>
                <w:bCs/>
                <w:color w:val="A32626"/>
                <w:sz w:val="20"/>
                <w:szCs w:val="20"/>
              </w:rPr>
              <w:t xml:space="preserve">¿EN QUÉ PUNTO EL RIESGO O EL COSTO SUPERAN EL BENEFICIO?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Riesgo reputacional por mensajes automatizados mal recibidos por prospectos (quejas, bloqueos, daño a la marca Inter.mx).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El tiempo que el Hunter humano dedica a corregir el trabajo de los agentes supera el tiempo que le ahorran.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Bloqueo técnico o legal persistente en la integración con LinkedIn/CRM que impida operar dentro de términos de servicio.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2026-07-24T19:54:30.458Z</dcterms:created>
  <dcterms:modified xsi:type="dcterms:W3CDTF">2026-07-24T19:54:30.471Z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