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6233A" w:color="auto" w:val="clear"/>
            <w:tcMar>
              <w:top w:type="dxa" w:w="250"/>
              <w:left w:type="dxa" w:w="300"/>
              <w:bottom w:type="dxa" w:w="250"/>
              <w:right w:type="dxa" w:w="3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Ubica tu proyecto de IA y define su nivel de riesgo antes de avanzar al diseño.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Nombre: </w:t>
      </w:r>
      <w:r>
        <w:rPr>
          <w:sz w:val="22"/>
          <w:szCs w:val="22"/>
          <w:u w:val="single"/>
        </w:rPr>
        <w:t xml:space="preserve">Fer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Área: </w:t>
      </w:r>
      <w:r>
        <w:rPr>
          <w:sz w:val="22"/>
          <w:szCs w:val="22"/>
          <w:u w:val="single"/>
        </w:rPr>
        <w:t xml:space="preserve">Alianzas Estratégicas · Inter.mx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Proyecto de IA a evaluar: </w:t>
      </w:r>
      <w:r>
        <w:rPr>
          <w:sz w:val="22"/>
          <w:szCs w:val="22"/>
          <w:u w:val="single"/>
        </w:rPr>
        <w:t xml:space="preserve">Agentes de IA para Hunting de Alianzas Estratégicas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EE3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Alto impacto / Baja viabilidad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→ Preparar terreno</w:t>
            </w:r>
          </w:p>
        </w:tc>
        <w:tc>
          <w:tcPr>
            <w:tcW w:type="dxa" w:w="4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F1EA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Alto impacto / Alta viabilidad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→ Priorizar</w:t>
            </w:r>
          </w:p>
        </w:tc>
      </w:tr>
      <w:tr>
        <w:tc>
          <w:tcPr>
            <w:tcW w:type="dxa" w:w="4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Bajo impacto / Baja viabilidad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→ Descartar</w:t>
            </w:r>
          </w:p>
        </w:tc>
        <w:tc>
          <w:tcPr>
            <w:tcW w:type="dxa" w:w="4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EEF3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Bajo impacto / Alta viabilidad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→ Quick win menor</w:t>
            </w:r>
          </w:p>
        </w:tc>
      </w:tr>
    </w:tbl>
    <w:p>
      <w:pPr>
        <w:spacing w:before="150"/>
        <w:jc w:val="center"/>
      </w:pPr>
      <w:r>
        <w:rPr>
          <w:i/>
          <w:iCs/>
          <w:color w:val="555555"/>
          <w:sz w:val="20"/>
          <w:szCs w:val="20"/>
        </w:rPr>
        <w:t xml:space="preserve">Viabilidad →</w:t>
      </w:r>
    </w:p>
    <w:p>
      <w:pPr>
        <w:spacing w:after="100" w:before="100"/>
      </w:pPr>
      <w:r>
        <w:rPr>
          <w:b/>
          <w:bCs/>
          <w:sz w:val="21"/>
          <w:szCs w:val="21"/>
        </w:rPr>
        <w:t xml:space="preserve">Marca:  </w:t>
      </w:r>
      <w:r>
        <w:rPr>
          <w:sz w:val="21"/>
          <w:szCs w:val="21"/>
        </w:rPr>
        <w:t xml:space="preserve">☒ Alto impacto / Baja-media viabilidad  →  Preparar terreno primero</w:t>
      </w:r>
    </w:p>
    <w:p>
      <w:pPr>
        <w:spacing w:after="120" w:before="300"/>
      </w:pPr>
      <w:r>
        <w:rPr>
          <w:b/>
          <w:bCs/>
          <w:color w:val="D97B3F"/>
          <w:sz w:val="24"/>
          <w:szCs w:val="24"/>
        </w:rPr>
        <w:t xml:space="preserve">● </w:t>
      </w:r>
      <w:r>
        <w:rPr>
          <w:b/>
          <w:bCs/>
          <w:color w:val="16233A"/>
          <w:sz w:val="24"/>
          <w:szCs w:val="24"/>
        </w:rPr>
        <w:t xml:space="preserve">1 · Impacto — ¿Cuánto valor genera si funciona?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(Basado en los documentos del proyecto)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Elimina el cuello de botella de que una sola persona cubra todo el ciclo (prospección → contacto → agendamiento → cierre → implementación).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Aumenta el volumen de prospectos contactados y citas agendadas sin sumar headcount.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Libera al Hunter humano para enfocarse en negociación, cierre e implementación.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Reduce el riesgo de que el proceso se detenga por ausencia o rotación del Hunter.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 visibilidad total y automática del embudo a la gerencia (hoy no existe reportería sistemática).</w:t>
      </w:r>
    </w:p>
    <w:p>
      <w:pPr>
        <w:spacing w:after="120" w:before="300"/>
      </w:pPr>
      <w:r>
        <w:rPr>
          <w:b/>
          <w:bCs/>
          <w:color w:val="3D6E7A"/>
          <w:sz w:val="24"/>
          <w:szCs w:val="24"/>
        </w:rPr>
        <w:t xml:space="preserve">● </w:t>
      </w:r>
      <w:r>
        <w:rPr>
          <w:b/>
          <w:bCs/>
          <w:color w:val="16233A"/>
          <w:sz w:val="24"/>
          <w:szCs w:val="24"/>
        </w:rPr>
        <w:t xml:space="preserve">2 · Viabilidad — ¿Tenemos datos, proceso y capacidades?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(Basado en la matriz de fuentes de información)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favor: LinkedIn Sales Navigator, Cross-Selling (CRM/ERP interno) y Licitaciones/RFP están clasificados como VIABLE.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Ya existe un proceso humano documentado que sirve de base para automatizar.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Pendiente: el alcance técnico de integración (CRM, LinkedIn, correo corporativo) aún no está definido con el área técnica.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Referidos internos y de clientes son solo PARCIAL (requieren intervención humana); Networking en eventos es NO VIABLE de automatizar directamente.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Conclusión: viabilidad media — bases sólidas, pero la arquitectura técnica es un gap real.</w:t>
      </w:r>
    </w:p>
    <w:p>
      <w:pPr>
        <w:spacing w:after="120" w:before="300"/>
      </w:pPr>
      <w:r>
        <w:rPr>
          <w:b/>
          <w:bCs/>
          <w:color w:val="16233A"/>
          <w:sz w:val="24"/>
          <w:szCs w:val="24"/>
        </w:rPr>
        <w:t xml:space="preserve">● </w:t>
      </w:r>
      <w:r>
        <w:rPr>
          <w:b/>
          <w:bCs/>
          <w:color w:val="16233A"/>
          <w:sz w:val="24"/>
          <w:szCs w:val="24"/>
        </w:rPr>
        <w:t xml:space="preserve">3 · Riesgo crítico — ¿Qué pasa si falla o se equivoca?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(Propuesta para validar con el equipo — no está en los documentos base)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Agente Outreach: un mensaje mal personalizado o excesivo puede dañar la reputación de marca antes de que el Hunter humano se entere.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Agente Hunter: datos desactualizados o mal cualificados generan pipeline "sucio" que hace perder tiempo en vez de ahorrarlo.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Agente Supervisor: falsos positivos/negativos en alertas de cartera pueden ocultar una cuenta en riesgo real o generar ruido que se termine ignorando.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Riesgo transversal: dependencia de scraping/RPA sobre plataformas como LinkedIn puede chocar con términos de servicio si no se ejecuta con cuidado.</w:t>
      </w:r>
    </w:p>
    <w:p>
      <w:pPr>
        <w:spacing w:after="120" w:before="300"/>
      </w:pPr>
      <w:r>
        <w:rPr>
          <w:b/>
          <w:bCs/>
          <w:color w:val="2E7D32"/>
          <w:sz w:val="24"/>
          <w:szCs w:val="24"/>
        </w:rPr>
        <w:t xml:space="preserve">● Decisión preliminar</w:t>
      </w:r>
    </w:p>
    <w:p>
      <w:pPr>
        <w:spacing w:after="60"/>
      </w:pPr>
      <w:r>
        <w:rPr>
          <w:sz w:val="21"/>
          <w:szCs w:val="21"/>
        </w:rPr>
        <w:t xml:space="preserve">☒ Preparar terreno primero      ☐ Avanzar a diseño      ☐ Descartar por ahora</w:t>
      </w:r>
    </w:p>
    <w:p>
      <w:pPr>
        <w:spacing w:before="150"/>
      </w:pPr>
      <w:r>
        <w:rPr>
          <w:i/>
          <w:iCs/>
          <w:color w:val="444444"/>
          <w:sz w:val="20"/>
          <w:szCs w:val="20"/>
        </w:rPr>
        <w:t xml:space="preserve">Justificación: coincide con los "Próximos pasos" ya definidos en el proyecto — definir arquitectura técnica con el área técnica, establecer línea base de métricas y definir un piloto inicial antes de escalar al sistema completo.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2026-07-24T19:19:43.228Z</dcterms:created>
  <dcterms:modified xsi:type="dcterms:W3CDTF">2026-07-24T19:19:43.252Z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