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0a2540"/>
          <w:sz w:val="44"/>
          <w:szCs w:val="44"/>
        </w:rPr>
        <w:t xml:space="preserve">MINHA CHANCE DE VISTO</w:t>
      </w:r>
    </w:p>
    <w:p>
      <w:pPr>
        <w:spacing w:after="100" w:before="100"/>
        <w:jc w:val="center"/>
      </w:pPr>
      <w:r>
        <w:rPr>
          <w:b/>
          <w:bCs/>
          <w:color w:val="1f7a3d"/>
          <w:sz w:val="36"/>
          <w:szCs w:val="36"/>
        </w:rPr>
        <w:t xml:space="preserve">Módulo Green Card</w:t>
      </w:r>
    </w:p>
    <w:p>
      <w:pPr>
        <w:spacing w:after="100" w:before="200"/>
        <w:jc w:val="center"/>
      </w:pPr>
      <w:r>
        <w:rPr>
          <w:b/>
          <w:bCs/>
          <w:color w:val="b22234"/>
          <w:sz w:val="26"/>
          <w:szCs w:val="26"/>
        </w:rPr>
        <w:t xml:space="preserve">Documento Complementar de Especificação — Nova Aba "Chance de Green Card"</w:t>
      </w:r>
    </w:p>
    <w:p>
      <w:pPr>
        <w:spacing w:after="600"/>
        <w:jc w:val="center"/>
      </w:pPr>
      <w:r>
        <w:rPr>
          <w:color w:val="666666"/>
          <w:sz w:val="22"/>
          <w:szCs w:val="22"/>
        </w:rPr>
        <w:t xml:space="preserve">Calculadora, Conteúdo de Viralização e FAQ de SEO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1f3f5" w:val="clear"/>
            <w:tcMar>
              <w:top w:type="dxa" w:w="80"/>
              <w:left w:type="dxa" w:w="100"/>
              <w:bottom w:type="dxa" w:w="80"/>
              <w:right w:type="dxa" w:w="100"/>
            </w:tcMar>
          </w:tcPr>
          <w:p>
            <w:r>
              <w:rPr>
                <w:b/>
                <w:bCs/>
                <w:color w:val="000000"/>
                <w:sz w:val="20"/>
                <w:szCs w:val="20"/>
              </w:rPr>
              <w:t xml:space="preserve">Projeto</w:t>
            </w:r>
          </w:p>
        </w:tc>
        <w:tc>
          <w:tcPr>
            <w:tcW w:type="dxa" w:w="6000"/>
            <w:tcMar>
              <w:top w:type="dxa" w:w="80"/>
              <w:left w:type="dxa" w:w="100"/>
              <w:bottom w:type="dxa" w:w="80"/>
              <w:right w:type="dxa" w:w="100"/>
            </w:tcMar>
          </w:tcPr>
          <w:p>
            <w:r>
              <w:rPr>
                <w:b w:val="false"/>
                <w:bCs w:val="false"/>
                <w:color w:val="000000"/>
                <w:sz w:val="20"/>
                <w:szCs w:val="20"/>
              </w:rPr>
              <w:t xml:space="preserve">Minha Chance de Visto — Módulo Green Card</w:t>
            </w:r>
          </w:p>
        </w:tc>
      </w:tr>
      <w:tr>
        <w:tc>
          <w:tcPr>
            <w:tcW w:type="dxa" w:w="3000"/>
            <w:shd w:fill="f1f3f5" w:val="clear"/>
            <w:tcMar>
              <w:top w:type="dxa" w:w="80"/>
              <w:left w:type="dxa" w:w="100"/>
              <w:bottom w:type="dxa" w:w="80"/>
              <w:right w:type="dxa" w:w="100"/>
            </w:tcMar>
          </w:tcPr>
          <w:p>
            <w:r>
              <w:rPr>
                <w:b/>
                <w:bCs/>
                <w:color w:val="000000"/>
                <w:sz w:val="20"/>
                <w:szCs w:val="20"/>
              </w:rPr>
              <w:t xml:space="preserve">Relação com o documento base</w:t>
            </w:r>
          </w:p>
        </w:tc>
        <w:tc>
          <w:tcPr>
            <w:tcW w:type="dxa" w:w="6000"/>
            <w:tcMar>
              <w:top w:type="dxa" w:w="80"/>
              <w:left w:type="dxa" w:w="100"/>
              <w:bottom w:type="dxa" w:w="80"/>
              <w:right w:type="dxa" w:w="100"/>
            </w:tcMar>
          </w:tcPr>
          <w:p>
            <w:r>
              <w:rPr>
                <w:b w:val="false"/>
                <w:bCs w:val="false"/>
                <w:color w:val="000000"/>
                <w:sz w:val="20"/>
                <w:szCs w:val="20"/>
              </w:rPr>
              <w:t xml:space="preserve">Complementa o PRD principal (MinhaChanceDeVisto_MVP_Especificacao.docx), sem substituí-lo</w:t>
            </w:r>
          </w:p>
        </w:tc>
      </w:tr>
      <w:tr>
        <w:tc>
          <w:tcPr>
            <w:tcW w:type="dxa" w:w="3000"/>
            <w:shd w:fill="f1f3f5" w:val="clear"/>
            <w:tcMar>
              <w:top w:type="dxa" w:w="80"/>
              <w:left w:type="dxa" w:w="100"/>
              <w:bottom w:type="dxa" w:w="80"/>
              <w:right w:type="dxa" w:w="100"/>
            </w:tcMar>
          </w:tcPr>
          <w:p>
            <w:r>
              <w:rPr>
                <w:b/>
                <w:bCs/>
                <w:color w:val="000000"/>
                <w:sz w:val="20"/>
                <w:szCs w:val="20"/>
              </w:rPr>
              <w:t xml:space="preserve">Mudança de layout</w:t>
            </w:r>
          </w:p>
        </w:tc>
        <w:tc>
          <w:tcPr>
            <w:tcW w:type="dxa" w:w="6000"/>
            <w:tcMar>
              <w:top w:type="dxa" w:w="80"/>
              <w:left w:type="dxa" w:w="100"/>
              <w:bottom w:type="dxa" w:w="80"/>
              <w:right w:type="dxa" w:w="100"/>
            </w:tcMar>
          </w:tcPr>
          <w:p>
            <w:r>
              <w:rPr>
                <w:b w:val="false"/>
                <w:bCs w:val="false"/>
                <w:color w:val="000000"/>
                <w:sz w:val="20"/>
                <w:szCs w:val="20"/>
              </w:rPr>
              <w:t xml:space="preserve">A tela de Calculadora passa a ter 2 abas: "Chance de Visto" (existente) e "Chance de Green Card" (nova)</w:t>
            </w:r>
          </w:p>
        </w:tc>
      </w:tr>
      <w:tr>
        <w:tc>
          <w:tcPr>
            <w:tcW w:type="dxa" w:w="3000"/>
            <w:shd w:fill="f1f3f5" w:val="clear"/>
            <w:tcMar>
              <w:top w:type="dxa" w:w="80"/>
              <w:left w:type="dxa" w:w="100"/>
              <w:bottom w:type="dxa" w:w="80"/>
              <w:right w:type="dxa" w:w="100"/>
            </w:tcMar>
          </w:tcPr>
          <w:p>
            <w:r>
              <w:rPr>
                <w:b/>
                <w:bCs/>
                <w:color w:val="000000"/>
                <w:sz w:val="20"/>
                <w:szCs w:val="20"/>
              </w:rPr>
              <w:t xml:space="preserve">Stack Tecnológica</w:t>
            </w:r>
          </w:p>
        </w:tc>
        <w:tc>
          <w:tcPr>
            <w:tcW w:type="dxa" w:w="6000"/>
            <w:tcMar>
              <w:top w:type="dxa" w:w="80"/>
              <w:left w:type="dxa" w:w="100"/>
              <w:bottom w:type="dxa" w:w="80"/>
              <w:right w:type="dxa" w:w="100"/>
            </w:tcMar>
          </w:tcPr>
          <w:p>
            <w:r>
              <w:rPr>
                <w:b w:val="false"/>
                <w:bCs w:val="false"/>
                <w:color w:val="000000"/>
                <w:sz w:val="20"/>
                <w:szCs w:val="20"/>
              </w:rPr>
              <w:t xml:space="preserve">HTML5, CSS3 e JavaScript puro — mesma stack do MVP original</w:t>
            </w:r>
          </w:p>
        </w:tc>
      </w:tr>
      <w:tr>
        <w:tc>
          <w:tcPr>
            <w:tcW w:type="dxa" w:w="3000"/>
            <w:shd w:fill="f1f3f5" w:val="clear"/>
            <w:tcMar>
              <w:top w:type="dxa" w:w="80"/>
              <w:left w:type="dxa" w:w="100"/>
              <w:bottom w:type="dxa" w:w="80"/>
              <w:right w:type="dxa" w:w="100"/>
            </w:tcMar>
          </w:tcPr>
          <w:p>
            <w:r>
              <w:rPr>
                <w:b/>
                <w:bCs/>
                <w:color w:val="000000"/>
                <w:sz w:val="20"/>
                <w:szCs w:val="20"/>
              </w:rPr>
              <w:t xml:space="preserve">Versão</w:t>
            </w:r>
          </w:p>
        </w:tc>
        <w:tc>
          <w:tcPr>
            <w:tcW w:type="dxa" w:w="6000"/>
            <w:tcMar>
              <w:top w:type="dxa" w:w="80"/>
              <w:left w:type="dxa" w:w="100"/>
              <w:bottom w:type="dxa" w:w="80"/>
              <w:right w:type="dxa" w:w="100"/>
            </w:tcMar>
          </w:tcPr>
          <w:p>
            <w:r>
              <w:rPr>
                <w:b w:val="false"/>
                <w:bCs w:val="false"/>
                <w:color w:val="000000"/>
                <w:sz w:val="20"/>
                <w:szCs w:val="20"/>
              </w:rPr>
              <w:t xml:space="preserve">1.0</w:t>
            </w:r>
          </w:p>
        </w:tc>
      </w:tr>
      <w:tr>
        <w:tc>
          <w:tcPr>
            <w:tcW w:type="dxa" w:w="3000"/>
            <w:shd w:fill="f1f3f5" w:val="clear"/>
            <w:tcMar>
              <w:top w:type="dxa" w:w="80"/>
              <w:left w:type="dxa" w:w="100"/>
              <w:bottom w:type="dxa" w:w="80"/>
              <w:right w:type="dxa" w:w="100"/>
            </w:tcMar>
          </w:tcPr>
          <w:p>
            <w:r>
              <w:rPr>
                <w:b/>
                <w:bCs/>
                <w:color w:val="000000"/>
                <w:sz w:val="20"/>
                <w:szCs w:val="20"/>
              </w:rPr>
              <w:t xml:space="preserve">Data</w:t>
            </w:r>
          </w:p>
        </w:tc>
        <w:tc>
          <w:tcPr>
            <w:tcW w:type="dxa" w:w="6000"/>
            <w:tcMar>
              <w:top w:type="dxa" w:w="80"/>
              <w:left w:type="dxa" w:w="100"/>
              <w:bottom w:type="dxa" w:w="80"/>
              <w:right w:type="dxa" w:w="100"/>
            </w:tcMar>
          </w:tcPr>
          <w:p>
            <w:r>
              <w:rPr>
                <w:b w:val="false"/>
                <w:bCs w:val="false"/>
                <w:color w:val="000000"/>
                <w:sz w:val="20"/>
                <w:szCs w:val="20"/>
              </w:rPr>
              <w:t xml:space="preserve">Julho de 2026</w:t>
            </w:r>
          </w:p>
        </w:tc>
      </w:tr>
    </w:tbl>
    <w:p>
      <w:r>
        <w:br w:type="page"/>
      </w:r>
    </w:p>
    <w:p>
      <w:pPr>
        <w:pStyle w:val="Heading1"/>
        <w:spacing w:after="200" w:before="400"/>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Visão Geral da Atualização</w:t>
      </w:r>
    </w:p>
    <w:p>
      <w:pPr>
        <w:spacing w:after="150"/>
      </w:pPr>
      <w:r>
        <w:t xml:space="preserve">Este documento estende o MVP "Minha Chance de Visto" com um segundo motor de cálculo dedicado ao Green Card (residência permanente), mantendo o mesmo layout, arquitetura client-side e modelo de monetização por Google AdSense já especificados no documento base.</w:t>
      </w:r>
    </w:p>
    <w:p>
      <w:pPr>
        <w:spacing w:after="150"/>
      </w:pPr>
      <w:r>
        <w:t xml:space="preserve">A principal mudança estrutural é na tela inicial: o bloco do simulador deixa de ter um único formulário e passa a apresentar duas abas dentro do mesmo card:</w:t>
      </w:r>
    </w:p>
    <w:p>
      <w:pPr>
        <w:pStyle w:val="ListParagraph"/>
        <w:numPr>
          <w:ilvl w:val="0"/>
          <w:numId w:val="1"/>
        </w:numPr>
        <w:spacing w:after="80"/>
      </w:pPr>
      <w:r>
        <w:t xml:space="preserve">Aba 1 — Chance de Visto: mantém exatamente a lógica já existente (B1/B2, F1/J1), sem alterações.</w:t>
      </w:r>
    </w:p>
    <w:p>
      <w:pPr>
        <w:pStyle w:val="ListParagraph"/>
        <w:numPr>
          <w:ilvl w:val="0"/>
          <w:numId w:val="1"/>
        </w:numPr>
        <w:spacing w:after="80"/>
      </w:pPr>
      <w:r>
        <w:t xml:space="preserve">Aba 2 — Chance de Green Card (nova): formulário e algoritmo próprios, descritos na seção 4.</w:t>
      </w:r>
    </w:p>
    <w:p>
      <w:pPr>
        <w:spacing w:after="150"/>
      </w:pPr>
      <w:r>
        <w:t xml:space="preserve">As duas calculadoras compartilham o mesmo header, menu de navegação, rodapé e blocos de anúncio — apenas o conteúdo do card central alterna via JavaScript, sem recarregar a página, seguindo o mesmo padrão de switchPage() já usado entre as demais telas.</w:t>
      </w:r>
    </w:p>
    <w:p>
      <w:pPr>
        <w:pBdr>
          <w:left w:val="single" w:color="1f7a3d" w:sz="24"/>
        </w:pBdr>
        <w:shd w:fill="FFF3CD" w:val="clear"/>
        <w:spacing w:after="200" w:before="150"/>
        <w:ind w:left="200"/>
      </w:pPr>
      <w:r>
        <w:rPr>
          <w:i/>
          <w:iCs/>
          <w:sz w:val="21"/>
          <w:szCs w:val="21"/>
        </w:rPr>
        <w:t xml:space="preserve">Por que abas e não páginas separadas? Manter as duas calculadoras na mesma tela (com abas) preserva a métrica de tempo de sessão e permite ao usuário comparar as duas vias (visto temporário x residência permanente) sem sair da página — o que é positivo tanto para SEO (menor taxa de rejeição) quanto para a receita de anúncios (mais scroll, mais impressões).</w:t>
      </w:r>
    </w:p>
    <w:p>
      <w:pPr>
        <w:pStyle w:val="Heading1"/>
        <w:spacing w:after="200" w:before="400"/>
      </w:pPr>
      <w:r>
        <w:t xml:space="preserve">2. Atualização das Regras de Negócio</w:t>
      </w:r>
    </w:p>
    <w:p>
      <w:pPr>
        <w:spacing w:after="150"/>
      </w:pPr>
      <w:r>
        <w:t xml:space="preserve">As regras RN01 a RN04 do documento base permanecem válidas e se aplicam integralmente ao módulo Green Card. Este módulo adiciona:</w:t>
      </w:r>
    </w:p>
    <w:p>
      <w:pPr>
        <w:spacing w:after="100"/>
      </w:pPr>
      <w:r>
        <w:rPr>
          <w:b/>
          <w:bCs/>
        </w:rPr>
        <w:t xml:space="preserve">RN05 — Independência dos motores de cálculo: </w:t>
      </w:r>
      <w:r>
        <w:t xml:space="preserve">a lógica da aba "Chance de Green Card" é isolada em sua própria função JavaScript (ex.: calculateGreenCardChance()), sem reaproveitar ou misturar variáveis com calculateVisaChance(), evitando efeitos colaterais entre as abas.</w:t>
      </w:r>
    </w:p>
    <w:p>
      <w:pPr>
        <w:spacing w:after="100"/>
      </w:pPr>
      <w:r>
        <w:rPr>
          <w:b/>
          <w:bCs/>
        </w:rPr>
        <w:t xml:space="preserve">RN06 — Transparência sobre a Loteria de Vistos (Diversity Visa): </w:t>
      </w:r>
      <w:r>
        <w:t xml:space="preserve">o conteúdo deve deixar explícito que o Brasil não está atualmente na lista de países elegíveis para a Loteria de Green Card (Diversity Visa), por ter ultrapassado o limite de 50 mil imigrantes para os EUA nos últimos cinco anos. O simulador só deve pontuar essa via para o usuário quando ele indicar enquadrar-se em uma exceção (cônjuge ou filho de pessoa nascida em país elegível).</w:t>
      </w:r>
    </w:p>
    <w:p>
      <w:pPr>
        <w:spacing w:after="100"/>
      </w:pPr>
      <w:r>
        <w:rPr>
          <w:b/>
          <w:bCs/>
        </w:rPr>
        <w:t xml:space="preserve">RN07 — Diferenciação entre "probabilidade" e "tempo de espera": </w:t>
      </w:r>
      <w:r>
        <w:t xml:space="preserve">diferente do visto de turismo/estudante (decisão em uma única entrevista), o Green Card envolve categorias com filas de múltiplos anos. O resultado da calculadora deve comunicar tanto a força do perfil (score) quanto uma faixa estimada de tempo de tramitação, para não gerar falsa expectativa de aprovação imediata.</w:t>
      </w:r>
    </w:p>
    <w:p>
      <w:pPr>
        <w:spacing w:after="100"/>
      </w:pPr>
      <w:r>
        <w:rPr>
          <w:b/>
          <w:bCs/>
        </w:rPr>
        <w:t xml:space="preserve">RN08 — Isenção de responsabilidade reforçada: </w:t>
      </w:r>
      <w:r>
        <w:t xml:space="preserve">por se tratar de imigração permanente (maior complexidade jurídica que visto temporário), a tela de resultado da aba Green Card deve reforçar, de forma ainda mais visível que na aba de Visto, que o resultado não substitui avaliação de advogado de imigração.</w:t>
      </w:r>
    </w:p>
    <w:p>
      <w:pPr>
        <w:pStyle w:val="Heading1"/>
        <w:spacing w:after="200" w:before="400"/>
      </w:pPr>
      <w:r>
        <w:t xml:space="preserve">3. Especificação Funcional — Nova Aba "Chance de Green Card"</w:t>
      </w:r>
    </w:p>
    <w:p>
      <w:pPr>
        <w:pStyle w:val="Heading2"/>
        <w:spacing w:after="150" w:before="300"/>
      </w:pPr>
      <w:r>
        <w:t xml:space="preserve">3.1. Navegação por Abas (dentro da Home)</w:t>
      </w:r>
    </w:p>
    <w:p>
      <w:pPr>
        <w:spacing w:after="150"/>
      </w:pPr>
      <w:r>
        <w:t xml:space="preserve">Estrutura de UI proposta para a seção #calculadora:</w:t>
      </w:r>
    </w:p>
    <w:p>
      <w:pPr>
        <w:pStyle w:val="ListParagraph"/>
        <w:numPr>
          <w:ilvl w:val="0"/>
          <w:numId w:val="1"/>
        </w:numPr>
        <w:spacing w:after="80"/>
      </w:pPr>
      <w:r>
        <w:t xml:space="preserve">Barra de abas no topo do card: [ Chance de Visto ] [ Chance de Green Card ]</w:t>
      </w:r>
    </w:p>
    <w:p>
      <w:pPr>
        <w:pStyle w:val="ListParagraph"/>
        <w:numPr>
          <w:ilvl w:val="0"/>
          <w:numId w:val="1"/>
        </w:numPr>
        <w:spacing w:after="80"/>
      </w:pPr>
      <w:r>
        <w:t xml:space="preserve">Aba ativa destacada visualmente (mesma paleta do site: azul marinho + vermelho, com verde adicional para reforçar associação ao Green Card).</w:t>
      </w:r>
    </w:p>
    <w:p>
      <w:pPr>
        <w:pStyle w:val="ListParagraph"/>
        <w:numPr>
          <w:ilvl w:val="0"/>
          <w:numId w:val="1"/>
        </w:numPr>
        <w:spacing w:after="80"/>
      </w:pPr>
      <w:r>
        <w:t xml:space="preserve">Cada aba mantém seu próprio formulário, botão de cálculo e caixa de resultado, ocultos/exibidos via JavaScript (mesmo padrão de .active usado nas seções).</w:t>
      </w:r>
    </w:p>
    <w:p>
      <w:pPr>
        <w:pStyle w:val="Heading2"/>
        <w:spacing w:after="150" w:before="300"/>
      </w:pPr>
      <w:r>
        <w:t xml:space="preserve">3.2. Formulário da Calculadora de Green Card</w:t>
      </w:r>
    </w:p>
    <w:p>
      <w:pPr>
        <w:spacing w:after="150"/>
      </w:pPr>
      <w:r>
        <w:t xml:space="preserve">O usuário responde a 4 perguntas, desenhadas para cobrir as vias de imigração permanente mais relevantes para o público brasileiro:</w:t>
      </w:r>
    </w:p>
    <w:p>
      <w:pPr>
        <w:pStyle w:val="ListParagraph"/>
        <w:numPr>
          <w:ilvl w:val="0"/>
          <w:numId w:val="2"/>
        </w:numPr>
        <w:spacing w:after="80"/>
      </w:pPr>
      <w:r>
        <w:t xml:space="preserve">Categoria/via pretendida: casamento ou parentesco direto com cidadão americano; casamento com residente permanente; emprego (EB-1, EB-2/NIW, EB-3); investimento (EB-5); asilo/refúgio; parentesco indireto (irmão/filho casado de cidadão); loteria de vistos (apenas se elegível por exceção).</w:t>
      </w:r>
    </w:p>
    <w:p>
      <w:pPr>
        <w:pStyle w:val="ListParagraph"/>
        <w:numPr>
          <w:ilvl w:val="0"/>
          <w:numId w:val="2"/>
        </w:numPr>
        <w:spacing w:after="80"/>
      </w:pPr>
      <w:r>
        <w:t xml:space="preserve">Força da documentação/qualificação: robusta, moderada ou frágil, conforme a categoria escolhida (ex.: tempo de relacionamento e provas de convivência para casamento; diploma e experiência comprovada para vias de emprego).</w:t>
      </w:r>
    </w:p>
    <w:p>
      <w:pPr>
        <w:pStyle w:val="ListParagraph"/>
        <w:numPr>
          <w:ilvl w:val="0"/>
          <w:numId w:val="2"/>
        </w:numPr>
        <w:spacing w:after="80"/>
      </w:pPr>
      <w:r>
        <w:t xml:space="preserve">Situação migratória atual: fora dos EUA com processamento consular; dentro dos EUA com status legal (ajuste de status); dentro dos EUA em situação irregular; nunca viajou aos EUA.</w:t>
      </w:r>
    </w:p>
    <w:p>
      <w:pPr>
        <w:pStyle w:val="ListParagraph"/>
        <w:numPr>
          <w:ilvl w:val="0"/>
          <w:numId w:val="2"/>
        </w:numPr>
        <w:spacing w:after="80"/>
      </w:pPr>
      <w:r>
        <w:t xml:space="preserve">País de nascimento do cônjuge/pai ou mãe (apenas exibido se a via "Loteria de Vistos" for selecionada), para validar a exceção de elegibilidade citada na RN06.</w:t>
      </w:r>
    </w:p>
    <w:p>
      <w:pPr>
        <w:pStyle w:val="Heading2"/>
        <w:spacing w:after="150" w:before="300"/>
      </w:pPr>
      <w:r>
        <w:t xml:space="preserve">3.3. Conteúdo Educativo Complementar</w:t>
      </w:r>
    </w:p>
    <w:p>
      <w:pPr>
        <w:spacing w:after="150"/>
      </w:pPr>
      <w:r>
        <w:t xml:space="preserve">A aba de Green Card deve linkar/expandir os seguintes blocos de conteúdo, já mapeados na seção 4 do documento base e detalhados aqui:</w:t>
      </w:r>
    </w:p>
    <w:p>
      <w:pPr>
        <w:pStyle w:val="ListParagraph"/>
        <w:numPr>
          <w:ilvl w:val="0"/>
          <w:numId w:val="1"/>
        </w:numPr>
        <w:spacing w:after="80"/>
      </w:pPr>
      <w:r>
        <w:t xml:space="preserve">Vias de obtenção do Green Card explicadas uma a uma (família, emprego, investimento, loteria, asilo).</w:t>
      </w:r>
    </w:p>
    <w:p>
      <w:pPr>
        <w:pStyle w:val="ListParagraph"/>
        <w:numPr>
          <w:ilvl w:val="0"/>
          <w:numId w:val="1"/>
        </w:numPr>
        <w:spacing w:after="80"/>
      </w:pPr>
      <w:r>
        <w:t xml:space="preserve">Explicação sobre o Boletim de Vistos (Visa Bulletin) e por que algumas categorias têm fila e outras não.</w:t>
      </w:r>
    </w:p>
    <w:p>
      <w:pPr>
        <w:pStyle w:val="ListParagraph"/>
        <w:numPr>
          <w:ilvl w:val="0"/>
          <w:numId w:val="1"/>
        </w:numPr>
        <w:spacing w:after="80"/>
      </w:pPr>
      <w:r>
        <w:t xml:space="preserve">Aviso específico sobre a não elegibilidade atual do Brasil na Loteria de Vistos, com as exceções cabíveis.</w:t>
      </w:r>
    </w:p>
    <w:p>
      <w:pPr>
        <w:pStyle w:val="ListParagraph"/>
        <w:numPr>
          <w:ilvl w:val="0"/>
          <w:numId w:val="1"/>
        </w:numPr>
        <w:spacing w:after="80"/>
      </w:pPr>
      <w:r>
        <w:t xml:space="preserve">Diferença entre Green Card condicional (2 anos, comum em casamento recente e EB-5) e permanente (10 anos, renovável).</w:t>
      </w:r>
    </w:p>
    <w:p>
      <w:pPr>
        <w:pStyle w:val="Heading1"/>
        <w:spacing w:after="200" w:before="400"/>
      </w:pPr>
      <w:r>
        <w:t xml:space="preserve">4. Especificação Técnica — Algoritmo da Calculadora de Green Card</w:t>
      </w:r>
    </w:p>
    <w:p>
      <w:pPr>
        <w:spacing w:after="150"/>
      </w:pPr>
      <w:r>
        <w:t xml:space="preserve">Assim como no simulador de visto, o cálculo roda 100% no navegador, sem IA e sem API paga (RN01), com pesos fixos definidos em JavaScript. A fórmula proposta é:</w:t>
      </w:r>
    </w:p>
    <w:p>
      <w:pPr>
        <w:spacing w:after="200" w:before="100"/>
        <w:jc w:val="center"/>
      </w:pPr>
      <w:r>
        <w:rPr>
          <w:b/>
          <w:bCs/>
          <w:color w:val="0a2540"/>
          <w:sz w:val="26"/>
          <w:szCs w:val="26"/>
        </w:rPr>
        <w:t xml:space="preserve">Score Final (S) = (C + Q + D) × Ap</w:t>
      </w:r>
    </w:p>
    <w:p>
      <w:pPr>
        <w:pStyle w:val="ListParagraph"/>
        <w:numPr>
          <w:ilvl w:val="0"/>
          <w:numId w:val="1"/>
        </w:numPr>
        <w:spacing w:after="80"/>
      </w:pPr>
      <w:r>
        <w:t xml:space="preserve">C = pontuação da Categoria/via de imigração</w:t>
      </w:r>
    </w:p>
    <w:p>
      <w:pPr>
        <w:pStyle w:val="ListParagraph"/>
        <w:numPr>
          <w:ilvl w:val="0"/>
          <w:numId w:val="1"/>
        </w:numPr>
        <w:spacing w:after="80"/>
      </w:pPr>
      <w:r>
        <w:t xml:space="preserve">Q = pontuação da Qualificação/força da documentação</w:t>
      </w:r>
    </w:p>
    <w:p>
      <w:pPr>
        <w:pStyle w:val="ListParagraph"/>
        <w:numPr>
          <w:ilvl w:val="0"/>
          <w:numId w:val="1"/>
        </w:numPr>
        <w:spacing w:after="80"/>
      </w:pPr>
      <w:r>
        <w:t xml:space="preserve">D = pontuação da Situação migratória atual</w:t>
      </w:r>
    </w:p>
    <w:p>
      <w:pPr>
        <w:pStyle w:val="ListParagraph"/>
        <w:numPr>
          <w:ilvl w:val="0"/>
          <w:numId w:val="1"/>
        </w:numPr>
        <w:spacing w:after="80"/>
      </w:pPr>
      <w:r>
        <w:t xml:space="preserve">Ap = fator de ajuste por prioridade da categoria (fila vs. prioridade imediata)</w:t>
      </w:r>
    </w:p>
    <w:p>
      <w:pPr>
        <w:pStyle w:val="Heading3"/>
        <w:spacing w:after="100" w:before="200"/>
      </w:pPr>
      <w:r>
        <w:t xml:space="preserve">4.1. Tabela de pesos — Categoria (C)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0a2540" w:val="clear"/>
            <w:tcMar>
              <w:top w:type="dxa" w:w="80"/>
              <w:left w:type="dxa" w:w="100"/>
              <w:bottom w:type="dxa" w:w="80"/>
              <w:right w:type="dxa" w:w="100"/>
            </w:tcMar>
          </w:tcPr>
          <w:p>
            <w:r>
              <w:rPr>
                <w:b/>
                <w:bCs/>
                <w:color w:val="FFFFFF"/>
                <w:sz w:val="20"/>
                <w:szCs w:val="20"/>
              </w:rPr>
              <w:t xml:space="preserve">Categoria / via de imigração</w:t>
            </w:r>
          </w:p>
        </w:tc>
        <w:tc>
          <w:tcPr>
            <w:tcW w:type="dxa" w:w="3200"/>
            <w:shd w:fill="0a2540" w:val="clear"/>
            <w:tcMar>
              <w:top w:type="dxa" w:w="80"/>
              <w:left w:type="dxa" w:w="100"/>
              <w:bottom w:type="dxa" w:w="80"/>
              <w:right w:type="dxa" w:w="100"/>
            </w:tcMar>
          </w:tcPr>
          <w:p>
            <w:r>
              <w:rPr>
                <w:b/>
                <w:bCs/>
                <w:color w:val="FFFFFF"/>
                <w:sz w:val="20"/>
                <w:szCs w:val="20"/>
              </w:rPr>
              <w:t xml:space="preserve">Pontuação</w:t>
            </w:r>
          </w:p>
        </w:tc>
      </w:tr>
      <w:tr>
        <w:tc>
          <w:tcPr>
            <w:tcW w:type="dxa" w:w="5800"/>
            <w:tcMar>
              <w:top w:type="dxa" w:w="80"/>
              <w:left w:type="dxa" w:w="100"/>
              <w:bottom w:type="dxa" w:w="80"/>
              <w:right w:type="dxa" w:w="100"/>
            </w:tcMar>
          </w:tcPr>
          <w:p>
            <w:r>
              <w:rPr>
                <w:b w:val="false"/>
                <w:bCs w:val="false"/>
                <w:color w:val="000000"/>
                <w:sz w:val="20"/>
                <w:szCs w:val="20"/>
              </w:rPr>
              <w:t xml:space="preserve">Cônjuge de cidadão(ã) americano(a) (CR1/IR1)</w:t>
            </w:r>
          </w:p>
        </w:tc>
        <w:tc>
          <w:tcPr>
            <w:tcW w:type="dxa" w:w="3200"/>
            <w:tcMar>
              <w:top w:type="dxa" w:w="80"/>
              <w:left w:type="dxa" w:w="100"/>
              <w:bottom w:type="dxa" w:w="80"/>
              <w:right w:type="dxa" w:w="100"/>
            </w:tcMar>
          </w:tcPr>
          <w:p>
            <w:r>
              <w:rPr>
                <w:b w:val="false"/>
                <w:bCs w:val="false"/>
                <w:color w:val="000000"/>
                <w:sz w:val="20"/>
                <w:szCs w:val="20"/>
              </w:rPr>
              <w:t xml:space="preserve">+45</w:t>
            </w:r>
          </w:p>
        </w:tc>
      </w:tr>
      <w:tr>
        <w:tc>
          <w:tcPr>
            <w:tcW w:type="dxa" w:w="5800"/>
            <w:tcMar>
              <w:top w:type="dxa" w:w="80"/>
              <w:left w:type="dxa" w:w="100"/>
              <w:bottom w:type="dxa" w:w="80"/>
              <w:right w:type="dxa" w:w="100"/>
            </w:tcMar>
          </w:tcPr>
          <w:p>
            <w:r>
              <w:rPr>
                <w:b w:val="false"/>
                <w:bCs w:val="false"/>
                <w:color w:val="000000"/>
                <w:sz w:val="20"/>
                <w:szCs w:val="20"/>
              </w:rPr>
              <w:t xml:space="preserve">Pai/mãe ou filho(a) solteiro(a) &lt; 21 anos de cidadão(ã) americano(a)</w:t>
            </w:r>
          </w:p>
        </w:tc>
        <w:tc>
          <w:tcPr>
            <w:tcW w:type="dxa" w:w="3200"/>
            <w:tcMar>
              <w:top w:type="dxa" w:w="80"/>
              <w:left w:type="dxa" w:w="100"/>
              <w:bottom w:type="dxa" w:w="80"/>
              <w:right w:type="dxa" w:w="100"/>
            </w:tcMar>
          </w:tcPr>
          <w:p>
            <w:r>
              <w:rPr>
                <w:b w:val="false"/>
                <w:bCs w:val="false"/>
                <w:color w:val="000000"/>
                <w:sz w:val="20"/>
                <w:szCs w:val="20"/>
              </w:rPr>
              <w:t xml:space="preserve">+45</w:t>
            </w:r>
          </w:p>
        </w:tc>
      </w:tr>
      <w:tr>
        <w:tc>
          <w:tcPr>
            <w:tcW w:type="dxa" w:w="5800"/>
            <w:tcMar>
              <w:top w:type="dxa" w:w="80"/>
              <w:left w:type="dxa" w:w="100"/>
              <w:bottom w:type="dxa" w:w="80"/>
              <w:right w:type="dxa" w:w="100"/>
            </w:tcMar>
          </w:tcPr>
          <w:p>
            <w:r>
              <w:rPr>
                <w:b w:val="false"/>
                <w:bCs w:val="false"/>
                <w:color w:val="000000"/>
                <w:sz w:val="20"/>
                <w:szCs w:val="20"/>
              </w:rPr>
              <w:t xml:space="preserve">Emprego — EB-1 (habilidade extraordinária / executivo multinacional)</w:t>
            </w:r>
          </w:p>
        </w:tc>
        <w:tc>
          <w:tcPr>
            <w:tcW w:type="dxa" w:w="3200"/>
            <w:tcMar>
              <w:top w:type="dxa" w:w="80"/>
              <w:left w:type="dxa" w:w="100"/>
              <w:bottom w:type="dxa" w:w="80"/>
              <w:right w:type="dxa" w:w="100"/>
            </w:tcMar>
          </w:tcPr>
          <w:p>
            <w:r>
              <w:rPr>
                <w:b w:val="false"/>
                <w:bCs w:val="false"/>
                <w:color w:val="000000"/>
                <w:sz w:val="20"/>
                <w:szCs w:val="20"/>
              </w:rPr>
              <w:t xml:space="preserve">+35</w:t>
            </w:r>
          </w:p>
        </w:tc>
      </w:tr>
      <w:tr>
        <w:tc>
          <w:tcPr>
            <w:tcW w:type="dxa" w:w="5800"/>
            <w:tcMar>
              <w:top w:type="dxa" w:w="80"/>
              <w:left w:type="dxa" w:w="100"/>
              <w:bottom w:type="dxa" w:w="80"/>
              <w:right w:type="dxa" w:w="100"/>
            </w:tcMar>
          </w:tcPr>
          <w:p>
            <w:r>
              <w:rPr>
                <w:b w:val="false"/>
                <w:bCs w:val="false"/>
                <w:color w:val="000000"/>
                <w:sz w:val="20"/>
                <w:szCs w:val="20"/>
              </w:rPr>
              <w:t xml:space="preserve">Emprego — EB-2 (mestrado/doutorado ou NIW)</w:t>
            </w:r>
          </w:p>
        </w:tc>
        <w:tc>
          <w:tcPr>
            <w:tcW w:type="dxa" w:w="3200"/>
            <w:tcMar>
              <w:top w:type="dxa" w:w="80"/>
              <w:left w:type="dxa" w:w="100"/>
              <w:bottom w:type="dxa" w:w="80"/>
              <w:right w:type="dxa" w:w="100"/>
            </w:tcMar>
          </w:tcPr>
          <w:p>
            <w:r>
              <w:rPr>
                <w:b w:val="false"/>
                <w:bCs w:val="false"/>
                <w:color w:val="000000"/>
                <w:sz w:val="20"/>
                <w:szCs w:val="20"/>
              </w:rPr>
              <w:t xml:space="preserve">+30</w:t>
            </w:r>
          </w:p>
        </w:tc>
      </w:tr>
      <w:tr>
        <w:tc>
          <w:tcPr>
            <w:tcW w:type="dxa" w:w="5800"/>
            <w:tcMar>
              <w:top w:type="dxa" w:w="80"/>
              <w:left w:type="dxa" w:w="100"/>
              <w:bottom w:type="dxa" w:w="80"/>
              <w:right w:type="dxa" w:w="100"/>
            </w:tcMar>
          </w:tcPr>
          <w:p>
            <w:r>
              <w:rPr>
                <w:b w:val="false"/>
                <w:bCs w:val="false"/>
                <w:color w:val="000000"/>
                <w:sz w:val="20"/>
                <w:szCs w:val="20"/>
              </w:rPr>
              <w:t xml:space="preserve">Investimento — EB-5</w:t>
            </w:r>
          </w:p>
        </w:tc>
        <w:tc>
          <w:tcPr>
            <w:tcW w:type="dxa" w:w="3200"/>
            <w:tcMar>
              <w:top w:type="dxa" w:w="80"/>
              <w:left w:type="dxa" w:w="100"/>
              <w:bottom w:type="dxa" w:w="80"/>
              <w:right w:type="dxa" w:w="100"/>
            </w:tcMar>
          </w:tcPr>
          <w:p>
            <w:r>
              <w:rPr>
                <w:b w:val="false"/>
                <w:bCs w:val="false"/>
                <w:color w:val="000000"/>
                <w:sz w:val="20"/>
                <w:szCs w:val="20"/>
              </w:rPr>
              <w:t xml:space="preserve">+30</w:t>
            </w:r>
          </w:p>
        </w:tc>
      </w:tr>
      <w:tr>
        <w:tc>
          <w:tcPr>
            <w:tcW w:type="dxa" w:w="5800"/>
            <w:tcMar>
              <w:top w:type="dxa" w:w="80"/>
              <w:left w:type="dxa" w:w="100"/>
              <w:bottom w:type="dxa" w:w="80"/>
              <w:right w:type="dxa" w:w="100"/>
            </w:tcMar>
          </w:tcPr>
          <w:p>
            <w:r>
              <w:rPr>
                <w:b w:val="false"/>
                <w:bCs w:val="false"/>
                <w:color w:val="000000"/>
                <w:sz w:val="20"/>
                <w:szCs w:val="20"/>
              </w:rPr>
              <w:t xml:space="preserve">Asilo/Refúgio já concedido ou em fase avançada</w:t>
            </w:r>
          </w:p>
        </w:tc>
        <w:tc>
          <w:tcPr>
            <w:tcW w:type="dxa" w:w="3200"/>
            <w:tcMar>
              <w:top w:type="dxa" w:w="80"/>
              <w:left w:type="dxa" w:w="100"/>
              <w:bottom w:type="dxa" w:w="80"/>
              <w:right w:type="dxa" w:w="100"/>
            </w:tcMar>
          </w:tcPr>
          <w:p>
            <w:r>
              <w:rPr>
                <w:b w:val="false"/>
                <w:bCs w:val="false"/>
                <w:color w:val="000000"/>
                <w:sz w:val="20"/>
                <w:szCs w:val="20"/>
              </w:rPr>
              <w:t xml:space="preserve">+20</w:t>
            </w:r>
          </w:p>
        </w:tc>
      </w:tr>
      <w:tr>
        <w:tc>
          <w:tcPr>
            <w:tcW w:type="dxa" w:w="5800"/>
            <w:tcMar>
              <w:top w:type="dxa" w:w="80"/>
              <w:left w:type="dxa" w:w="100"/>
              <w:bottom w:type="dxa" w:w="80"/>
              <w:right w:type="dxa" w:w="100"/>
            </w:tcMar>
          </w:tcPr>
          <w:p>
            <w:r>
              <w:rPr>
                <w:b w:val="false"/>
                <w:bCs w:val="false"/>
                <w:color w:val="000000"/>
                <w:sz w:val="20"/>
                <w:szCs w:val="20"/>
              </w:rPr>
              <w:t xml:space="preserve">Emprego — EB-3 (profissional/trabalhador qualificado)</w:t>
            </w:r>
          </w:p>
        </w:tc>
        <w:tc>
          <w:tcPr>
            <w:tcW w:type="dxa" w:w="3200"/>
            <w:tcMar>
              <w:top w:type="dxa" w:w="80"/>
              <w:left w:type="dxa" w:w="100"/>
              <w:bottom w:type="dxa" w:w="80"/>
              <w:right w:type="dxa" w:w="100"/>
            </w:tcMar>
          </w:tcPr>
          <w:p>
            <w:r>
              <w:rPr>
                <w:b w:val="false"/>
                <w:bCs w:val="false"/>
                <w:color w:val="000000"/>
                <w:sz w:val="20"/>
                <w:szCs w:val="20"/>
              </w:rPr>
              <w:t xml:space="preserve">+22</w:t>
            </w:r>
          </w:p>
        </w:tc>
      </w:tr>
      <w:tr>
        <w:tc>
          <w:tcPr>
            <w:tcW w:type="dxa" w:w="5800"/>
            <w:tcMar>
              <w:top w:type="dxa" w:w="80"/>
              <w:left w:type="dxa" w:w="100"/>
              <w:bottom w:type="dxa" w:w="80"/>
              <w:right w:type="dxa" w:w="100"/>
            </w:tcMar>
          </w:tcPr>
          <w:p>
            <w:r>
              <w:rPr>
                <w:b w:val="false"/>
                <w:bCs w:val="false"/>
                <w:color w:val="000000"/>
                <w:sz w:val="20"/>
                <w:szCs w:val="20"/>
              </w:rPr>
              <w:t xml:space="preserve">Cônjuge de residente permanente (green card holder) — F2A</w:t>
            </w:r>
          </w:p>
        </w:tc>
        <w:tc>
          <w:tcPr>
            <w:tcW w:type="dxa" w:w="3200"/>
            <w:tcMar>
              <w:top w:type="dxa" w:w="80"/>
              <w:left w:type="dxa" w:w="100"/>
              <w:bottom w:type="dxa" w:w="80"/>
              <w:right w:type="dxa" w:w="100"/>
            </w:tcMar>
          </w:tcPr>
          <w:p>
            <w:r>
              <w:rPr>
                <w:b w:val="false"/>
                <w:bCs w:val="false"/>
                <w:color w:val="000000"/>
                <w:sz w:val="20"/>
                <w:szCs w:val="20"/>
              </w:rPr>
              <w:t xml:space="preserve">+20</w:t>
            </w:r>
          </w:p>
        </w:tc>
      </w:tr>
      <w:tr>
        <w:tc>
          <w:tcPr>
            <w:tcW w:type="dxa" w:w="5800"/>
            <w:tcMar>
              <w:top w:type="dxa" w:w="80"/>
              <w:left w:type="dxa" w:w="100"/>
              <w:bottom w:type="dxa" w:w="80"/>
              <w:right w:type="dxa" w:w="100"/>
            </w:tcMar>
          </w:tcPr>
          <w:p>
            <w:r>
              <w:rPr>
                <w:b w:val="false"/>
                <w:bCs w:val="false"/>
                <w:color w:val="000000"/>
                <w:sz w:val="20"/>
                <w:szCs w:val="20"/>
              </w:rPr>
              <w:t xml:space="preserve">Loteria de Vistos (apenas se elegível por exceção)</w:t>
            </w:r>
          </w:p>
        </w:tc>
        <w:tc>
          <w:tcPr>
            <w:tcW w:type="dxa" w:w="3200"/>
            <w:tcMar>
              <w:top w:type="dxa" w:w="80"/>
              <w:left w:type="dxa" w:w="100"/>
              <w:bottom w:type="dxa" w:w="80"/>
              <w:right w:type="dxa" w:w="100"/>
            </w:tcMar>
          </w:tcPr>
          <w:p>
            <w:r>
              <w:rPr>
                <w:b w:val="false"/>
                <w:bCs w:val="false"/>
                <w:color w:val="000000"/>
                <w:sz w:val="20"/>
                <w:szCs w:val="20"/>
              </w:rPr>
              <w:t xml:space="preserve">+15</w:t>
            </w:r>
          </w:p>
        </w:tc>
      </w:tr>
      <w:tr>
        <w:tc>
          <w:tcPr>
            <w:tcW w:type="dxa" w:w="5800"/>
            <w:tcMar>
              <w:top w:type="dxa" w:w="80"/>
              <w:left w:type="dxa" w:w="100"/>
              <w:bottom w:type="dxa" w:w="80"/>
              <w:right w:type="dxa" w:w="100"/>
            </w:tcMar>
          </w:tcPr>
          <w:p>
            <w:r>
              <w:rPr>
                <w:b w:val="false"/>
                <w:bCs w:val="false"/>
                <w:color w:val="000000"/>
                <w:sz w:val="20"/>
                <w:szCs w:val="20"/>
              </w:rPr>
              <w:t xml:space="preserve">Irmão(ã) ou filho(a) casado(a) de cidadão(ã) americano(a) — F3/F4</w:t>
            </w:r>
          </w:p>
        </w:tc>
        <w:tc>
          <w:tcPr>
            <w:tcW w:type="dxa" w:w="3200"/>
            <w:tcMar>
              <w:top w:type="dxa" w:w="80"/>
              <w:left w:type="dxa" w:w="100"/>
              <w:bottom w:type="dxa" w:w="80"/>
              <w:right w:type="dxa" w:w="100"/>
            </w:tcMar>
          </w:tcPr>
          <w:p>
            <w:r>
              <w:rPr>
                <w:b w:val="false"/>
                <w:bCs w:val="false"/>
                <w:color w:val="000000"/>
                <w:sz w:val="20"/>
                <w:szCs w:val="20"/>
              </w:rPr>
              <w:t xml:space="preserve">+10</w:t>
            </w:r>
          </w:p>
        </w:tc>
      </w:tr>
    </w:tbl>
    <w:p>
      <w:pPr>
        <w:spacing w:after="150"/>
      </w:pPr>
    </w:p>
    <w:p>
      <w:pPr>
        <w:pStyle w:val="Heading3"/>
        <w:spacing w:after="100" w:before="200"/>
      </w:pPr>
      <w:r>
        <w:t xml:space="preserve">4.2. Tabela de pesos — Qualificação/Documentação (Q)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0a2540" w:val="clear"/>
            <w:tcMar>
              <w:top w:type="dxa" w:w="80"/>
              <w:left w:type="dxa" w:w="100"/>
              <w:bottom w:type="dxa" w:w="80"/>
              <w:right w:type="dxa" w:w="100"/>
            </w:tcMar>
          </w:tcPr>
          <w:p>
            <w:r>
              <w:rPr>
                <w:b/>
                <w:bCs/>
                <w:color w:val="FFFFFF"/>
                <w:sz w:val="20"/>
                <w:szCs w:val="20"/>
              </w:rPr>
              <w:t xml:space="preserve">Força da documentação</w:t>
            </w:r>
          </w:p>
        </w:tc>
        <w:tc>
          <w:tcPr>
            <w:tcW w:type="dxa" w:w="3200"/>
            <w:shd w:fill="0a2540" w:val="clear"/>
            <w:tcMar>
              <w:top w:type="dxa" w:w="80"/>
              <w:left w:type="dxa" w:w="100"/>
              <w:bottom w:type="dxa" w:w="80"/>
              <w:right w:type="dxa" w:w="100"/>
            </w:tcMar>
          </w:tcPr>
          <w:p>
            <w:r>
              <w:rPr>
                <w:b/>
                <w:bCs/>
                <w:color w:val="FFFFFF"/>
                <w:sz w:val="20"/>
                <w:szCs w:val="20"/>
              </w:rPr>
              <w:t xml:space="preserve">Pontuação</w:t>
            </w:r>
          </w:p>
        </w:tc>
      </w:tr>
      <w:tr>
        <w:tc>
          <w:tcPr>
            <w:tcW w:type="dxa" w:w="5800"/>
            <w:tcMar>
              <w:top w:type="dxa" w:w="80"/>
              <w:left w:type="dxa" w:w="100"/>
              <w:bottom w:type="dxa" w:w="80"/>
              <w:right w:type="dxa" w:w="100"/>
            </w:tcMar>
          </w:tcPr>
          <w:p>
            <w:r>
              <w:rPr>
                <w:b w:val="false"/>
                <w:bCs w:val="false"/>
                <w:color w:val="000000"/>
                <w:sz w:val="20"/>
                <w:szCs w:val="20"/>
              </w:rPr>
              <w:t xml:space="preserve">Robusta (ex.: casamento com provas consistentes de convivência; diploma + experiência plenamente comprovados; investimento já estruturado)</w:t>
            </w:r>
          </w:p>
        </w:tc>
        <w:tc>
          <w:tcPr>
            <w:tcW w:type="dxa" w:w="3200"/>
            <w:tcMar>
              <w:top w:type="dxa" w:w="80"/>
              <w:left w:type="dxa" w:w="100"/>
              <w:bottom w:type="dxa" w:w="80"/>
              <w:right w:type="dxa" w:w="100"/>
            </w:tcMar>
          </w:tcPr>
          <w:p>
            <w:r>
              <w:rPr>
                <w:b w:val="false"/>
                <w:bCs w:val="false"/>
                <w:color w:val="000000"/>
                <w:sz w:val="20"/>
                <w:szCs w:val="20"/>
              </w:rPr>
              <w:t xml:space="preserve">+30</w:t>
            </w:r>
          </w:p>
        </w:tc>
      </w:tr>
      <w:tr>
        <w:tc>
          <w:tcPr>
            <w:tcW w:type="dxa" w:w="5800"/>
            <w:tcMar>
              <w:top w:type="dxa" w:w="80"/>
              <w:left w:type="dxa" w:w="100"/>
              <w:bottom w:type="dxa" w:w="80"/>
              <w:right w:type="dxa" w:w="100"/>
            </w:tcMar>
          </w:tcPr>
          <w:p>
            <w:r>
              <w:rPr>
                <w:b w:val="false"/>
                <w:bCs w:val="false"/>
                <w:color w:val="000000"/>
                <w:sz w:val="20"/>
                <w:szCs w:val="20"/>
              </w:rPr>
              <w:t xml:space="preserve">Moderada (relação recente porém legítima; qualificação parcialmente comprovada)</w:t>
            </w:r>
          </w:p>
        </w:tc>
        <w:tc>
          <w:tcPr>
            <w:tcW w:type="dxa" w:w="3200"/>
            <w:tcMar>
              <w:top w:type="dxa" w:w="80"/>
              <w:left w:type="dxa" w:w="100"/>
              <w:bottom w:type="dxa" w:w="80"/>
              <w:right w:type="dxa" w:w="100"/>
            </w:tcMar>
          </w:tcPr>
          <w:p>
            <w:r>
              <w:rPr>
                <w:b w:val="false"/>
                <w:bCs w:val="false"/>
                <w:color w:val="000000"/>
                <w:sz w:val="20"/>
                <w:szCs w:val="20"/>
              </w:rPr>
              <w:t xml:space="preserve">+15</w:t>
            </w:r>
          </w:p>
        </w:tc>
      </w:tr>
      <w:tr>
        <w:tc>
          <w:tcPr>
            <w:tcW w:type="dxa" w:w="5800"/>
            <w:tcMar>
              <w:top w:type="dxa" w:w="80"/>
              <w:left w:type="dxa" w:w="100"/>
              <w:bottom w:type="dxa" w:w="80"/>
              <w:right w:type="dxa" w:w="100"/>
            </w:tcMar>
          </w:tcPr>
          <w:p>
            <w:r>
              <w:rPr>
                <w:b w:val="false"/>
                <w:bCs w:val="false"/>
                <w:color w:val="000000"/>
                <w:sz w:val="20"/>
                <w:szCs w:val="20"/>
              </w:rPr>
              <w:t xml:space="preserve">Frágil ou incompleta</w:t>
            </w:r>
          </w:p>
        </w:tc>
        <w:tc>
          <w:tcPr>
            <w:tcW w:type="dxa" w:w="3200"/>
            <w:tcMar>
              <w:top w:type="dxa" w:w="80"/>
              <w:left w:type="dxa" w:w="100"/>
              <w:bottom w:type="dxa" w:w="80"/>
              <w:right w:type="dxa" w:w="100"/>
            </w:tcMar>
          </w:tcPr>
          <w:p>
            <w:r>
              <w:rPr>
                <w:b w:val="false"/>
                <w:bCs w:val="false"/>
                <w:color w:val="000000"/>
                <w:sz w:val="20"/>
                <w:szCs w:val="20"/>
              </w:rPr>
              <w:t xml:space="preserve">+0</w:t>
            </w:r>
          </w:p>
        </w:tc>
      </w:tr>
    </w:tbl>
    <w:p>
      <w:pPr>
        <w:spacing w:after="150"/>
      </w:pPr>
    </w:p>
    <w:p>
      <w:pPr>
        <w:pStyle w:val="Heading3"/>
        <w:spacing w:after="100" w:before="200"/>
      </w:pPr>
      <w:r>
        <w:t xml:space="preserve">4.3. Tabela de pesos — Situação Migratória Atual (D)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0a2540" w:val="clear"/>
            <w:tcMar>
              <w:top w:type="dxa" w:w="80"/>
              <w:left w:type="dxa" w:w="100"/>
              <w:bottom w:type="dxa" w:w="80"/>
              <w:right w:type="dxa" w:w="100"/>
            </w:tcMar>
          </w:tcPr>
          <w:p>
            <w:r>
              <w:rPr>
                <w:b/>
                <w:bCs/>
                <w:color w:val="FFFFFF"/>
                <w:sz w:val="20"/>
                <w:szCs w:val="20"/>
              </w:rPr>
              <w:t xml:space="preserve">Situação atual</w:t>
            </w:r>
          </w:p>
        </w:tc>
        <w:tc>
          <w:tcPr>
            <w:tcW w:type="dxa" w:w="3200"/>
            <w:shd w:fill="0a2540" w:val="clear"/>
            <w:tcMar>
              <w:top w:type="dxa" w:w="80"/>
              <w:left w:type="dxa" w:w="100"/>
              <w:bottom w:type="dxa" w:w="80"/>
              <w:right w:type="dxa" w:w="100"/>
            </w:tcMar>
          </w:tcPr>
          <w:p>
            <w:r>
              <w:rPr>
                <w:b/>
                <w:bCs/>
                <w:color w:val="FFFFFF"/>
                <w:sz w:val="20"/>
                <w:szCs w:val="20"/>
              </w:rPr>
              <w:t xml:space="preserve">Pontuação</w:t>
            </w:r>
          </w:p>
        </w:tc>
      </w:tr>
      <w:tr>
        <w:tc>
          <w:tcPr>
            <w:tcW w:type="dxa" w:w="5800"/>
            <w:tcMar>
              <w:top w:type="dxa" w:w="80"/>
              <w:left w:type="dxa" w:w="100"/>
              <w:bottom w:type="dxa" w:w="80"/>
              <w:right w:type="dxa" w:w="100"/>
            </w:tcMar>
          </w:tcPr>
          <w:p>
            <w:r>
              <w:rPr>
                <w:b w:val="false"/>
                <w:bCs w:val="false"/>
                <w:color w:val="000000"/>
                <w:sz w:val="20"/>
                <w:szCs w:val="20"/>
              </w:rPr>
              <w:t xml:space="preserve">Fora dos EUA, com status regular no Brasil (via processamento consular)</w:t>
            </w:r>
          </w:p>
        </w:tc>
        <w:tc>
          <w:tcPr>
            <w:tcW w:type="dxa" w:w="3200"/>
            <w:tcMar>
              <w:top w:type="dxa" w:w="80"/>
              <w:left w:type="dxa" w:w="100"/>
              <w:bottom w:type="dxa" w:w="80"/>
              <w:right w:type="dxa" w:w="100"/>
            </w:tcMar>
          </w:tcPr>
          <w:p>
            <w:r>
              <w:rPr>
                <w:b w:val="false"/>
                <w:bCs w:val="false"/>
                <w:color w:val="000000"/>
                <w:sz w:val="20"/>
                <w:szCs w:val="20"/>
              </w:rPr>
              <w:t xml:space="preserve">+25</w:t>
            </w:r>
          </w:p>
        </w:tc>
      </w:tr>
      <w:tr>
        <w:tc>
          <w:tcPr>
            <w:tcW w:type="dxa" w:w="5800"/>
            <w:tcMar>
              <w:top w:type="dxa" w:w="80"/>
              <w:left w:type="dxa" w:w="100"/>
              <w:bottom w:type="dxa" w:w="80"/>
              <w:right w:type="dxa" w:w="100"/>
            </w:tcMar>
          </w:tcPr>
          <w:p>
            <w:r>
              <w:rPr>
                <w:b w:val="false"/>
                <w:bCs w:val="false"/>
                <w:color w:val="000000"/>
                <w:sz w:val="20"/>
                <w:szCs w:val="20"/>
              </w:rPr>
              <w:t xml:space="preserve">Dentro dos EUA, com status legal válido (elegível a ajuste de status)</w:t>
            </w:r>
          </w:p>
        </w:tc>
        <w:tc>
          <w:tcPr>
            <w:tcW w:type="dxa" w:w="3200"/>
            <w:tcMar>
              <w:top w:type="dxa" w:w="80"/>
              <w:left w:type="dxa" w:w="100"/>
              <w:bottom w:type="dxa" w:w="80"/>
              <w:right w:type="dxa" w:w="100"/>
            </w:tcMar>
          </w:tcPr>
          <w:p>
            <w:r>
              <w:rPr>
                <w:b w:val="false"/>
                <w:bCs w:val="false"/>
                <w:color w:val="000000"/>
                <w:sz w:val="20"/>
                <w:szCs w:val="20"/>
              </w:rPr>
              <w:t xml:space="preserve">+25</w:t>
            </w:r>
          </w:p>
        </w:tc>
      </w:tr>
      <w:tr>
        <w:tc>
          <w:tcPr>
            <w:tcW w:type="dxa" w:w="5800"/>
            <w:tcMar>
              <w:top w:type="dxa" w:w="80"/>
              <w:left w:type="dxa" w:w="100"/>
              <w:bottom w:type="dxa" w:w="80"/>
              <w:right w:type="dxa" w:w="100"/>
            </w:tcMar>
          </w:tcPr>
          <w:p>
            <w:r>
              <w:rPr>
                <w:b w:val="false"/>
                <w:bCs w:val="false"/>
                <w:color w:val="000000"/>
                <w:sz w:val="20"/>
                <w:szCs w:val="20"/>
              </w:rPr>
              <w:t xml:space="preserve">Nunca viajou aos EUA (neutro)</w:t>
            </w:r>
          </w:p>
        </w:tc>
        <w:tc>
          <w:tcPr>
            <w:tcW w:type="dxa" w:w="3200"/>
            <w:tcMar>
              <w:top w:type="dxa" w:w="80"/>
              <w:left w:type="dxa" w:w="100"/>
              <w:bottom w:type="dxa" w:w="80"/>
              <w:right w:type="dxa" w:w="100"/>
            </w:tcMar>
          </w:tcPr>
          <w:p>
            <w:r>
              <w:rPr>
                <w:b w:val="false"/>
                <w:bCs w:val="false"/>
                <w:color w:val="000000"/>
                <w:sz w:val="20"/>
                <w:szCs w:val="20"/>
              </w:rPr>
              <w:t xml:space="preserve">+10</w:t>
            </w:r>
          </w:p>
        </w:tc>
      </w:tr>
      <w:tr>
        <w:tc>
          <w:tcPr>
            <w:tcW w:type="dxa" w:w="5800"/>
            <w:tcMar>
              <w:top w:type="dxa" w:w="80"/>
              <w:left w:type="dxa" w:w="100"/>
              <w:bottom w:type="dxa" w:w="80"/>
              <w:right w:type="dxa" w:w="100"/>
            </w:tcMar>
          </w:tcPr>
          <w:p>
            <w:r>
              <w:rPr>
                <w:b w:val="false"/>
                <w:bCs w:val="false"/>
                <w:color w:val="000000"/>
                <w:sz w:val="20"/>
                <w:szCs w:val="20"/>
              </w:rPr>
              <w:t xml:space="preserve">Dentro dos EUA em situação irregular (overstay)</w:t>
            </w:r>
          </w:p>
        </w:tc>
        <w:tc>
          <w:tcPr>
            <w:tcW w:type="dxa" w:w="3200"/>
            <w:tcMar>
              <w:top w:type="dxa" w:w="80"/>
              <w:left w:type="dxa" w:w="100"/>
              <w:bottom w:type="dxa" w:w="80"/>
              <w:right w:type="dxa" w:w="100"/>
            </w:tcMar>
          </w:tcPr>
          <w:p>
            <w:r>
              <w:rPr>
                <w:b w:val="false"/>
                <w:bCs w:val="false"/>
                <w:color w:val="000000"/>
                <w:sz w:val="20"/>
                <w:szCs w:val="20"/>
              </w:rPr>
              <w:t xml:space="preserve">-15</w:t>
            </w:r>
          </w:p>
        </w:tc>
      </w:tr>
    </w:tbl>
    <w:p>
      <w:pPr>
        <w:spacing w:after="150"/>
      </w:pPr>
    </w:p>
    <w:p>
      <w:pPr>
        <w:pStyle w:val="Heading3"/>
        <w:spacing w:after="100" w:before="200"/>
      </w:pPr>
      <w:r>
        <w:t xml:space="preserve">4.4. Fator de ajuste por prioridade da categoria (Ap)</w:t>
      </w:r>
    </w:p>
    <w:p>
      <w:pPr>
        <w:pStyle w:val="ListParagraph"/>
        <w:numPr>
          <w:ilvl w:val="0"/>
          <w:numId w:val="1"/>
        </w:numPr>
        <w:spacing w:after="80"/>
      </w:pPr>
      <w:r>
        <w:t xml:space="preserve">Categorias de prioridade imediata — sem fila (cônjuge/pai/filho solteiro de cidadão, EB-1, EB-5, asilo já concedido): Ap = 1,0</w:t>
      </w:r>
    </w:p>
    <w:p>
      <w:pPr>
        <w:pStyle w:val="ListParagraph"/>
        <w:numPr>
          <w:ilvl w:val="0"/>
          <w:numId w:val="1"/>
        </w:numPr>
        <w:spacing w:after="80"/>
      </w:pPr>
      <w:r>
        <w:t xml:space="preserve">Categorias sujeitas a fila de espera do Visa Bulletin (EB-2, EB-3, F2A, F3, F4, Loteria): Ap = 0,80 (não reduz a elegibilidade, mas reflete o tempo adicional de espera na leitura do score)</w:t>
      </w:r>
    </w:p>
    <w:p>
      <w:pPr>
        <w:pBdr>
          <w:left w:val="single" w:color="1f7a3d" w:sz="24"/>
        </w:pBdr>
        <w:shd w:fill="FFF3CD" w:val="clear"/>
        <w:spacing w:after="200" w:before="150"/>
        <w:ind w:left="200"/>
      </w:pPr>
      <w:r>
        <w:rPr>
          <w:i/>
          <w:iCs/>
          <w:sz w:val="21"/>
          <w:szCs w:val="21"/>
        </w:rPr>
        <w:t xml:space="preserve">Nota conceitual: diferente do visto de turismo, um score mais baixo em Ap não significa "reprovação" — significa fila mais longa. O texto de resultado deve deixar isso muito claro (RN07), mostrando uma faixa estimada de tempo ao lado do score, e não apenas um veredito de aprovado/negado.</w:t>
      </w:r>
    </w:p>
    <w:p>
      <w:pPr>
        <w:pStyle w:val="Heading3"/>
        <w:spacing w:after="100" w:before="200"/>
      </w:pPr>
      <w:r>
        <w:t xml:space="preserve">4.5. Classes de output visual (resultado na tela)</w:t>
      </w:r>
    </w:p>
    <w:p>
      <w:pPr>
        <w:spacing w:after="100"/>
      </w:pPr>
      <w:r>
        <w:rPr>
          <w:b/>
          <w:bCs/>
        </w:rPr>
        <w:t xml:space="preserve">S ≥ 70 — Caminho Forte: </w:t>
      </w:r>
      <w:r>
        <w:t xml:space="preserve">caixa verde. Perfil bem enquadrado na categoria escolhida; mensagem indica próximos passos documentais e estimativa de prazo mais curto.</w:t>
      </w:r>
    </w:p>
    <w:p>
      <w:pPr>
        <w:spacing w:after="100"/>
      </w:pPr>
      <w:r>
        <w:rPr>
          <w:b/>
          <w:bCs/>
        </w:rPr>
        <w:t xml:space="preserve">40 ≤ S &lt; 70 — Caminho Possível, com Pontos de Atenção: </w:t>
      </w:r>
      <w:r>
        <w:t xml:space="preserve">caixa amarela. Indica lacunas na documentação/qualificação ou categoria sujeita a fila, com sugestões de fortalecimento do processo.</w:t>
      </w:r>
    </w:p>
    <w:p>
      <w:pPr>
        <w:spacing w:after="100"/>
      </w:pPr>
      <w:r>
        <w:rPr>
          <w:b/>
          <w:bCs/>
        </w:rPr>
        <w:t xml:space="preserve">S &lt; 40 — Caminho Requer Estruturação: </w:t>
      </w:r>
      <w:r>
        <w:t xml:space="preserve">caixa vermelha. Orienta o usuário a buscar orientação jurídica especializada antes de iniciar o processo, sem alarmismo.</w:t>
      </w:r>
    </w:p>
    <w:p>
      <w:pPr>
        <w:pBdr>
          <w:left w:val="single" w:color="1f7a3d" w:sz="24"/>
        </w:pBdr>
        <w:shd w:fill="FFF3CD" w:val="clear"/>
        <w:spacing w:after="200" w:before="150"/>
        <w:ind w:left="200"/>
      </w:pPr>
      <w:r>
        <w:rPr>
          <w:i/>
          <w:iCs/>
          <w:sz w:val="21"/>
          <w:szCs w:val="21"/>
        </w:rPr>
        <w:t xml:space="preserve">Nota técnica: assim como na aba de Visto, o código deve aplicar Math.max(10, score) para nunca exibir um valor abaixo de 10%.</w:t>
      </w:r>
    </w:p>
    <w:p>
      <w:pPr>
        <w:pStyle w:val="Heading2"/>
        <w:spacing w:after="150" w:before="300"/>
      </w:pPr>
      <w:r>
        <w:t xml:space="preserve">4.6. Ajuste na Arquitetura de Blocos de Anúncio</w:t>
      </w:r>
    </w:p>
    <w:p>
      <w:pPr>
        <w:spacing w:after="150"/>
      </w:pPr>
      <w:r>
        <w:t xml:space="preserve">A troca de abas não deve remover o anúncio já carregado; recomenda-se manter os placeholders fixos ao redor do card (topo e resultado) e adicionar um novo espaço in-feed entre o formulário e o bloco de conteúdo educativo específico da aba Green Card, elevando o total de impressões potenciais por sessão sem prejudicar a experiência.</w:t>
      </w:r>
    </w:p>
    <w:p>
      <w:pPr>
        <w:pStyle w:val="Heading2"/>
        <w:spacing w:after="150" w:before="300"/>
      </w:pPr>
      <w:r>
        <w:t xml:space="preserve">4.7. Esqueleto de Código de Referência</w:t>
      </w:r>
    </w:p>
    <w:p>
      <w:pPr>
        <w:shd w:fill="f1f3f5" w:val="clear"/>
        <w:spacing w:after="200" w:before="100"/>
      </w:pPr>
      <w:r>
        <w:rPr>
          <w:rFonts w:ascii="Consolas" w:cs="Consolas" w:eastAsia="Consolas" w:hAnsi="Consolas"/>
          <w:sz w:val="18"/>
          <w:szCs w:val="18"/>
        </w:rPr>
        <w:t xml:space="preserve">function switchTab(tabId) {
  document.querySelectorAll('.calc-tab-panel').forEach(el =&gt; el.classList.remove('active'));
  document.querySelectorAll('.calc-tab-btn').forEach(el =&gt; el.classList.remove('active'));
  document.getElementById(tabId).classList.add('active');
  document.getElementById('tabbtn-' + tabId).classList.add('active');
}
function calculateGreenCardChance(event) {
  event.preventDefault();
  const C = pesosCategoria[document.getElementById('gcCategoria').value];
  const Q = pesosQualificacao[document.getElementById('gcQualificacao').value];
  const D = pesosSituacao[document.getElementById('gcSituacao').value];
  const Ap = categoriasComFila.includes(document.getElementById('gcCategoria').value) ? 0.80 : 1.0;
  let score = Math.max(10, Math.round((C + Q + D) * Ap));
  // aplica classe CSS (caminho-forte / caminho-atencao / caminho-estruturar) e exibe faixa estimada de prazo
}</w:t>
      </w:r>
    </w:p>
    <w:p>
      <w:pPr>
        <w:pStyle w:val="Heading1"/>
        <w:spacing w:after="200" w:before="400"/>
      </w:pPr>
      <w:r>
        <w:t xml:space="preserve">5. Conteúdo para Viralização — Palavras-chave de Green Card</w:t>
      </w:r>
    </w:p>
    <w:p>
      <w:pPr>
        <w:spacing w:after="150"/>
      </w:pPr>
      <w:r>
        <w:t xml:space="preserve">Estratégia de conteúdo e nomenclatura para captar tanto busca orgânica (Google) quanto tráfego de compartilhamento (Instagram, TikTok, grupos de Facebook e WhatsApp), seguindo a mesma lógica já validada para "Chance de Visto".</w:t>
      </w:r>
    </w:p>
    <w:p>
      <w:pPr>
        <w:pStyle w:val="Heading2"/>
        <w:spacing w:after="150" w:before="300"/>
      </w:pPr>
      <w:r>
        <w:t xml:space="preserve">5.1. Naming da nova aba/seção</w:t>
      </w:r>
    </w:p>
    <w:p>
      <w:pPr>
        <w:pStyle w:val="ListParagraph"/>
        <w:numPr>
          <w:ilvl w:val="0"/>
          <w:numId w:val="1"/>
        </w:numPr>
        <w:spacing w:after="80"/>
      </w:pPr>
      <w:r>
        <w:t xml:space="preserve">Nome de exibição no menu: "Chance de Green Card" (mantém o padrão "Chance de + [termo]" já validado para viralização).</w:t>
      </w:r>
    </w:p>
    <w:p>
      <w:pPr>
        <w:pStyle w:val="ListParagraph"/>
        <w:numPr>
          <w:ilvl w:val="0"/>
          <w:numId w:val="1"/>
        </w:numPr>
        <w:spacing w:after="80"/>
      </w:pPr>
      <w:r>
        <w:t xml:space="preserve">Título de página (H1/meta title) sugerido: "Calculadora de Green Card: Descubra sua Chance de Residência Permanente nos EUA".</w:t>
      </w:r>
    </w:p>
    <w:p>
      <w:pPr>
        <w:pStyle w:val="ListParagraph"/>
        <w:numPr>
          <w:ilvl w:val="0"/>
          <w:numId w:val="1"/>
        </w:numPr>
        <w:spacing w:after="80"/>
      </w:pPr>
      <w:r>
        <w:t xml:space="preserve">Call-to-action de compartilhamento após o resultado: "Faça também o teste de Green Card e compare com o de Visto" — reforça a navegação cruzada entre as duas abas.</w:t>
      </w:r>
    </w:p>
    <w:p>
      <w:pPr>
        <w:pStyle w:val="Heading2"/>
        <w:spacing w:after="150" w:before="300"/>
      </w:pPr>
      <w:r>
        <w:t xml:space="preserve">5.2. Palavras-chave principais (cauda curta e média)</w:t>
      </w:r>
    </w:p>
    <w:p>
      <w:pPr>
        <w:pStyle w:val="ListParagraph"/>
        <w:numPr>
          <w:ilvl w:val="0"/>
          <w:numId w:val="1"/>
        </w:numPr>
        <w:spacing w:after="80"/>
      </w:pPr>
      <w:r>
        <w:t xml:space="preserve">green card</w:t>
      </w:r>
    </w:p>
    <w:p>
      <w:pPr>
        <w:pStyle w:val="ListParagraph"/>
        <w:numPr>
          <w:ilvl w:val="0"/>
          <w:numId w:val="1"/>
        </w:numPr>
        <w:spacing w:after="80"/>
      </w:pPr>
      <w:r>
        <w:t xml:space="preserve">como conseguir green card</w:t>
      </w:r>
    </w:p>
    <w:p>
      <w:pPr>
        <w:pStyle w:val="ListParagraph"/>
        <w:numPr>
          <w:ilvl w:val="0"/>
          <w:numId w:val="1"/>
        </w:numPr>
        <w:spacing w:after="80"/>
      </w:pPr>
      <w:r>
        <w:t xml:space="preserve">green card eua</w:t>
      </w:r>
    </w:p>
    <w:p>
      <w:pPr>
        <w:pStyle w:val="ListParagraph"/>
        <w:numPr>
          <w:ilvl w:val="0"/>
          <w:numId w:val="1"/>
        </w:numPr>
        <w:spacing w:after="80"/>
      </w:pPr>
      <w:r>
        <w:t xml:space="preserve">chance de green card</w:t>
      </w:r>
    </w:p>
    <w:p>
      <w:pPr>
        <w:pStyle w:val="ListParagraph"/>
        <w:numPr>
          <w:ilvl w:val="0"/>
          <w:numId w:val="1"/>
        </w:numPr>
        <w:spacing w:after="80"/>
      </w:pPr>
      <w:r>
        <w:t xml:space="preserve">calculadora de green card</w:t>
      </w:r>
    </w:p>
    <w:p>
      <w:pPr>
        <w:pStyle w:val="ListParagraph"/>
        <w:numPr>
          <w:ilvl w:val="0"/>
          <w:numId w:val="1"/>
        </w:numPr>
        <w:spacing w:after="80"/>
      </w:pPr>
      <w:r>
        <w:t xml:space="preserve">green card por casamento</w:t>
      </w:r>
    </w:p>
    <w:p>
      <w:pPr>
        <w:pStyle w:val="ListParagraph"/>
        <w:numPr>
          <w:ilvl w:val="0"/>
          <w:numId w:val="1"/>
        </w:numPr>
        <w:spacing w:after="80"/>
      </w:pPr>
      <w:r>
        <w:t xml:space="preserve">green card por emprego</w:t>
      </w:r>
    </w:p>
    <w:p>
      <w:pPr>
        <w:pStyle w:val="ListParagraph"/>
        <w:numPr>
          <w:ilvl w:val="0"/>
          <w:numId w:val="1"/>
        </w:numPr>
        <w:spacing w:after="80"/>
      </w:pPr>
      <w:r>
        <w:t xml:space="preserve">loteria de green card</w:t>
      </w:r>
    </w:p>
    <w:p>
      <w:pPr>
        <w:pStyle w:val="ListParagraph"/>
        <w:numPr>
          <w:ilvl w:val="0"/>
          <w:numId w:val="1"/>
        </w:numPr>
        <w:spacing w:after="80"/>
      </w:pPr>
      <w:r>
        <w:t xml:space="preserve">green card investidor</w:t>
      </w:r>
    </w:p>
    <w:p>
      <w:pPr>
        <w:pStyle w:val="ListParagraph"/>
        <w:numPr>
          <w:ilvl w:val="0"/>
          <w:numId w:val="1"/>
        </w:numPr>
        <w:spacing w:after="80"/>
      </w:pPr>
      <w:r>
        <w:t xml:space="preserve">quanto custa green card</w:t>
      </w:r>
    </w:p>
    <w:p>
      <w:pPr>
        <w:pStyle w:val="ListParagraph"/>
        <w:numPr>
          <w:ilvl w:val="0"/>
          <w:numId w:val="1"/>
        </w:numPr>
        <w:spacing w:after="80"/>
      </w:pPr>
      <w:r>
        <w:t xml:space="preserve">quanto tempo demora green card</w:t>
      </w:r>
    </w:p>
    <w:p>
      <w:pPr>
        <w:pStyle w:val="Heading2"/>
        <w:spacing w:after="150" w:before="300"/>
      </w:pPr>
      <w:r>
        <w:t xml:space="preserve">5.3. Sugestões de domínio/marca voltadas ao Green Card (uso como subdomínio ou nova landing)</w:t>
      </w:r>
    </w:p>
    <w:p>
      <w:pPr>
        <w:pStyle w:val="ListParagraph"/>
        <w:numPr>
          <w:ilvl w:val="0"/>
          <w:numId w:val="1"/>
        </w:numPr>
        <w:spacing w:after="80"/>
      </w:pPr>
      <w:r>
        <w:t xml:space="preserve">minhachancedegreencard.com</w:t>
      </w:r>
    </w:p>
    <w:p>
      <w:pPr>
        <w:pStyle w:val="ListParagraph"/>
        <w:numPr>
          <w:ilvl w:val="0"/>
          <w:numId w:val="1"/>
        </w:numPr>
        <w:spacing w:after="80"/>
      </w:pPr>
      <w:r>
        <w:t xml:space="preserve">calculadoragreencard.com.br</w:t>
      </w:r>
    </w:p>
    <w:p>
      <w:pPr>
        <w:pStyle w:val="ListParagraph"/>
        <w:numPr>
          <w:ilvl w:val="0"/>
          <w:numId w:val="1"/>
        </w:numPr>
        <w:spacing w:after="80"/>
      </w:pPr>
      <w:r>
        <w:t xml:space="preserve">chancedegreencard.com</w:t>
      </w:r>
    </w:p>
    <w:p>
      <w:pPr>
        <w:pStyle w:val="ListParagraph"/>
        <w:numPr>
          <w:ilvl w:val="0"/>
          <w:numId w:val="1"/>
        </w:numPr>
        <w:spacing w:after="80"/>
      </w:pPr>
      <w:r>
        <w:t xml:space="preserve">greencardcalculadora.com.br</w:t>
      </w:r>
    </w:p>
    <w:p>
      <w:pPr>
        <w:spacing w:after="150"/>
      </w:pPr>
      <w:r>
        <w:t xml:space="preserve">Recomenda-se manter o Green Card como aba dentro do domínio principal (minhachancedevisto.com) em vez de site separado: consolida autoridade de domínio (SEO) e evita dividir tráfego e receita de anúncio entre dois projetos.</w:t>
      </w:r>
    </w:p>
    <w:p>
      <w:pPr>
        <w:pStyle w:val="Heading2"/>
        <w:spacing w:after="150" w:before="300"/>
      </w:pPr>
      <w:r>
        <w:t xml:space="preserve">5.4. Ganchos de viralização para redes sociais</w:t>
      </w:r>
    </w:p>
    <w:p>
      <w:pPr>
        <w:pStyle w:val="ListParagraph"/>
        <w:numPr>
          <w:ilvl w:val="0"/>
          <w:numId w:val="1"/>
        </w:numPr>
        <w:spacing w:after="80"/>
      </w:pPr>
      <w:r>
        <w:t xml:space="preserve">"Você se casou com um americano? Descubra em 1 minuto sua chance de Green Card" — gancho emocional + curiosidade.</w:t>
      </w:r>
    </w:p>
    <w:p>
      <w:pPr>
        <w:pStyle w:val="ListParagraph"/>
        <w:numPr>
          <w:ilvl w:val="0"/>
          <w:numId w:val="1"/>
        </w:numPr>
        <w:spacing w:after="80"/>
      </w:pPr>
      <w:r>
        <w:t xml:space="preserve">"Brasil está fora da Loteria de Green Card — mas existe uma exceção que pouca gente conhece" — gancho de informação exclusiva/curiosidade.</w:t>
      </w:r>
    </w:p>
    <w:p>
      <w:pPr>
        <w:pStyle w:val="ListParagraph"/>
        <w:numPr>
          <w:ilvl w:val="0"/>
          <w:numId w:val="1"/>
        </w:numPr>
        <w:spacing w:after="80"/>
      </w:pPr>
      <w:r>
        <w:t xml:space="preserve">"EB-5: quanto custa comprar um Green Card em 2026?" — gancho de choque/valor alto, forte potencial de compartilhamento e debate nos comentários.</w:t>
      </w:r>
    </w:p>
    <w:p>
      <w:pPr>
        <w:pStyle w:val="ListParagraph"/>
        <w:numPr>
          <w:ilvl w:val="0"/>
          <w:numId w:val="1"/>
        </w:numPr>
        <w:spacing w:after="80"/>
      </w:pPr>
      <w:r>
        <w:t xml:space="preserve">Formato de conteúdo sugerido para redes: prints do resultado da calculadora (sem dados pessoais) com o score e a faixa de tempo estimada, convidando o seguidor a testar o próprio perfil.</w:t>
      </w:r>
    </w:p>
    <w:p>
      <w:pPr>
        <w:pStyle w:val="Heading1"/>
        <w:spacing w:after="200" w:before="400"/>
      </w:pPr>
      <w:r>
        <w:t xml:space="preserve">6. Página de Perguntas e Respostas — Green Card (SEO)</w:t>
      </w:r>
    </w:p>
    <w:p>
      <w:pPr>
        <w:spacing w:after="150"/>
      </w:pPr>
      <w:r>
        <w:t xml:space="preserve">Segue o mesmo padrão de estrutura de tags definido no documento base (H1 único da página, H2 por pergunta, H3 para subdivisões, marcação schema.org FAQPage). Pode ser publicada como continuação da FAQ existente (mesma página, nova seção) ou como página própria "/perguntas-frequentes-green-card".</w:t>
      </w:r>
    </w:p>
    <w:p>
      <w:pPr>
        <w:pStyle w:val="Heading2"/>
        <w:spacing w:after="150" w:before="300"/>
      </w:pPr>
      <w:r>
        <w:t xml:space="preserve">6.1. Mapeamento de perguntas (cauda longa) sobre Green Card</w:t>
      </w:r>
    </w:p>
    <w:p>
      <w:pPr>
        <w:pStyle w:val="Heading3"/>
        <w:spacing w:after="100" w:before="200"/>
      </w:pPr>
      <w:r>
        <w:t xml:space="preserve">Tema: Como conseguir / vias de obtenção</w:t>
      </w:r>
    </w:p>
    <w:p>
      <w:pPr>
        <w:pStyle w:val="ListParagraph"/>
        <w:numPr>
          <w:ilvl w:val="0"/>
          <w:numId w:val="1"/>
        </w:numPr>
        <w:spacing w:after="80"/>
      </w:pPr>
      <w:r>
        <w:t xml:space="preserve">Como conseguir o green card?</w:t>
      </w:r>
    </w:p>
    <w:p>
      <w:pPr>
        <w:pStyle w:val="ListParagraph"/>
        <w:numPr>
          <w:ilvl w:val="0"/>
          <w:numId w:val="1"/>
        </w:numPr>
        <w:spacing w:after="80"/>
      </w:pPr>
      <w:r>
        <w:t xml:space="preserve">Green card como tirar</w:t>
      </w:r>
    </w:p>
    <w:p>
      <w:pPr>
        <w:pStyle w:val="ListParagraph"/>
        <w:numPr>
          <w:ilvl w:val="0"/>
          <w:numId w:val="1"/>
        </w:numPr>
        <w:spacing w:after="80"/>
      </w:pPr>
      <w:r>
        <w:t xml:space="preserve">Green card como funciona</w:t>
      </w:r>
    </w:p>
    <w:p>
      <w:pPr>
        <w:pStyle w:val="ListParagraph"/>
        <w:numPr>
          <w:ilvl w:val="0"/>
          <w:numId w:val="1"/>
        </w:numPr>
        <w:spacing w:after="80"/>
      </w:pPr>
      <w:r>
        <w:t xml:space="preserve">Green card por casamento como funciona</w:t>
      </w:r>
    </w:p>
    <w:p>
      <w:pPr>
        <w:pStyle w:val="ListParagraph"/>
        <w:numPr>
          <w:ilvl w:val="0"/>
          <w:numId w:val="1"/>
        </w:numPr>
        <w:spacing w:after="80"/>
      </w:pPr>
      <w:r>
        <w:t xml:space="preserve">Green card por emprego como conseguir</w:t>
      </w:r>
    </w:p>
    <w:p>
      <w:pPr>
        <w:pStyle w:val="ListParagraph"/>
        <w:numPr>
          <w:ilvl w:val="0"/>
          <w:numId w:val="1"/>
        </w:numPr>
        <w:spacing w:after="80"/>
      </w:pPr>
      <w:r>
        <w:t xml:space="preserve">Como conseguir green card sem ser casado</w:t>
      </w:r>
    </w:p>
    <w:p>
      <w:pPr>
        <w:pStyle w:val="ListParagraph"/>
        <w:numPr>
          <w:ilvl w:val="0"/>
          <w:numId w:val="1"/>
        </w:numPr>
        <w:spacing w:after="80"/>
      </w:pPr>
      <w:r>
        <w:t xml:space="preserve">Dá para tirar green card sozinho, sem advogado?</w:t>
      </w:r>
    </w:p>
    <w:p>
      <w:pPr>
        <w:pStyle w:val="Heading3"/>
        <w:spacing w:after="100" w:before="200"/>
      </w:pPr>
      <w:r>
        <w:t xml:space="preserve">Tema: Loteria de Vistos (Diversity Visa)</w:t>
      </w:r>
    </w:p>
    <w:p>
      <w:pPr>
        <w:pStyle w:val="ListParagraph"/>
        <w:numPr>
          <w:ilvl w:val="0"/>
          <w:numId w:val="1"/>
        </w:numPr>
        <w:spacing w:after="80"/>
      </w:pPr>
      <w:r>
        <w:t xml:space="preserve">Brasileiro pode participar da loteria do green card?</w:t>
      </w:r>
    </w:p>
    <w:p>
      <w:pPr>
        <w:pStyle w:val="ListParagraph"/>
        <w:numPr>
          <w:ilvl w:val="0"/>
          <w:numId w:val="1"/>
        </w:numPr>
        <w:spacing w:after="80"/>
      </w:pPr>
      <w:r>
        <w:t xml:space="preserve">Como se inscrever na loteria de green card?</w:t>
      </w:r>
    </w:p>
    <w:p>
      <w:pPr>
        <w:pStyle w:val="ListParagraph"/>
        <w:numPr>
          <w:ilvl w:val="0"/>
          <w:numId w:val="1"/>
        </w:numPr>
        <w:spacing w:after="80"/>
      </w:pPr>
      <w:r>
        <w:t xml:space="preserve">Loteria de green card é gratuita?</w:t>
      </w:r>
    </w:p>
    <w:p>
      <w:pPr>
        <w:pStyle w:val="ListParagraph"/>
        <w:numPr>
          <w:ilvl w:val="0"/>
          <w:numId w:val="1"/>
        </w:numPr>
        <w:spacing w:after="80"/>
      </w:pPr>
      <w:r>
        <w:t xml:space="preserve">Qual a chance de ganhar a loteria do green card?</w:t>
      </w:r>
    </w:p>
    <w:p>
      <w:pPr>
        <w:pStyle w:val="Heading3"/>
        <w:spacing w:after="100" w:before="200"/>
      </w:pPr>
      <w:r>
        <w:t xml:space="preserve">Tema: Green Card por casamento</w:t>
      </w:r>
    </w:p>
    <w:p>
      <w:pPr>
        <w:pStyle w:val="ListParagraph"/>
        <w:numPr>
          <w:ilvl w:val="0"/>
          <w:numId w:val="1"/>
        </w:numPr>
        <w:spacing w:after="80"/>
      </w:pPr>
      <w:r>
        <w:t xml:space="preserve">Green card por casamento demora quanto tempo?</w:t>
      </w:r>
    </w:p>
    <w:p>
      <w:pPr>
        <w:pStyle w:val="ListParagraph"/>
        <w:numPr>
          <w:ilvl w:val="0"/>
          <w:numId w:val="1"/>
        </w:numPr>
        <w:spacing w:after="80"/>
      </w:pPr>
      <w:r>
        <w:t xml:space="preserve">Green card por casamento precisa de quanto tempo de relacionamento?</w:t>
      </w:r>
    </w:p>
    <w:p>
      <w:pPr>
        <w:pStyle w:val="ListParagraph"/>
        <w:numPr>
          <w:ilvl w:val="0"/>
          <w:numId w:val="1"/>
        </w:numPr>
        <w:spacing w:after="80"/>
      </w:pPr>
      <w:r>
        <w:t xml:space="preserve">O que comprova casamento para o green card?</w:t>
      </w:r>
    </w:p>
    <w:p>
      <w:pPr>
        <w:pStyle w:val="ListParagraph"/>
        <w:numPr>
          <w:ilvl w:val="0"/>
          <w:numId w:val="1"/>
        </w:numPr>
        <w:spacing w:after="80"/>
      </w:pPr>
      <w:r>
        <w:t xml:space="preserve">Dá para perder o green card em caso de divórcio?</w:t>
      </w:r>
    </w:p>
    <w:p>
      <w:pPr>
        <w:pStyle w:val="Heading3"/>
        <w:spacing w:after="100" w:before="200"/>
      </w:pPr>
      <w:r>
        <w:t xml:space="preserve">Tema: Green Card por emprego (EB-1, EB-2, EB-3)</w:t>
      </w:r>
    </w:p>
    <w:p>
      <w:pPr>
        <w:pStyle w:val="ListParagraph"/>
        <w:numPr>
          <w:ilvl w:val="0"/>
          <w:numId w:val="1"/>
        </w:numPr>
        <w:spacing w:after="80"/>
      </w:pPr>
      <w:r>
        <w:t xml:space="preserve">Qual a diferença entre EB-1, EB-2 e EB-3?</w:t>
      </w:r>
    </w:p>
    <w:p>
      <w:pPr>
        <w:pStyle w:val="ListParagraph"/>
        <w:numPr>
          <w:ilvl w:val="0"/>
          <w:numId w:val="1"/>
        </w:numPr>
        <w:spacing w:after="80"/>
      </w:pPr>
      <w:r>
        <w:t xml:space="preserve">O que é NIW (dispensa de oferta de emprego)?</w:t>
      </w:r>
    </w:p>
    <w:p>
      <w:pPr>
        <w:pStyle w:val="ListParagraph"/>
        <w:numPr>
          <w:ilvl w:val="0"/>
          <w:numId w:val="1"/>
        </w:numPr>
        <w:spacing w:after="80"/>
      </w:pPr>
      <w:r>
        <w:t xml:space="preserve">Preciso de uma empresa americana me contratando para conseguir green card?</w:t>
      </w:r>
    </w:p>
    <w:p>
      <w:pPr>
        <w:pStyle w:val="Heading3"/>
        <w:spacing w:after="100" w:before="200"/>
      </w:pPr>
      <w:r>
        <w:t xml:space="preserve">Tema: Green Card por investimento (EB-5)</w:t>
      </w:r>
    </w:p>
    <w:p>
      <w:pPr>
        <w:pStyle w:val="ListParagraph"/>
        <w:numPr>
          <w:ilvl w:val="0"/>
          <w:numId w:val="1"/>
        </w:numPr>
        <w:spacing w:after="80"/>
      </w:pPr>
      <w:r>
        <w:t xml:space="preserve">Quanto custa o green card por investimento em 2026?</w:t>
      </w:r>
    </w:p>
    <w:p>
      <w:pPr>
        <w:pStyle w:val="ListParagraph"/>
        <w:numPr>
          <w:ilvl w:val="0"/>
          <w:numId w:val="1"/>
        </w:numPr>
        <w:spacing w:after="80"/>
      </w:pPr>
      <w:r>
        <w:t xml:space="preserve">EB-5 vale a pena para brasileiros?</w:t>
      </w:r>
    </w:p>
    <w:p>
      <w:pPr>
        <w:pStyle w:val="ListParagraph"/>
        <w:numPr>
          <w:ilvl w:val="0"/>
          <w:numId w:val="1"/>
        </w:numPr>
        <w:spacing w:after="80"/>
      </w:pPr>
      <w:r>
        <w:t xml:space="preserve">Quanto tempo demora o green card por investimento?</w:t>
      </w:r>
    </w:p>
    <w:p>
      <w:pPr>
        <w:pStyle w:val="Heading3"/>
        <w:spacing w:after="100" w:before="200"/>
      </w:pPr>
      <w:r>
        <w:t xml:space="preserve">Tema: Custos e prazos gerais</w:t>
      </w:r>
    </w:p>
    <w:p>
      <w:pPr>
        <w:pStyle w:val="ListParagraph"/>
        <w:numPr>
          <w:ilvl w:val="0"/>
          <w:numId w:val="1"/>
        </w:numPr>
        <w:spacing w:after="80"/>
      </w:pPr>
      <w:r>
        <w:t xml:space="preserve">Quanto custa tirar o green card?</w:t>
      </w:r>
    </w:p>
    <w:p>
      <w:pPr>
        <w:pStyle w:val="ListParagraph"/>
        <w:numPr>
          <w:ilvl w:val="0"/>
          <w:numId w:val="1"/>
        </w:numPr>
        <w:spacing w:after="80"/>
      </w:pPr>
      <w:r>
        <w:t xml:space="preserve">Quanto tempo demora para sair o green card?</w:t>
      </w:r>
    </w:p>
    <w:p>
      <w:pPr>
        <w:pStyle w:val="ListParagraph"/>
        <w:numPr>
          <w:ilvl w:val="0"/>
          <w:numId w:val="1"/>
        </w:numPr>
        <w:spacing w:after="80"/>
      </w:pPr>
      <w:r>
        <w:t xml:space="preserve">Green card tem validade? Precisa renovar?</w:t>
      </w:r>
    </w:p>
    <w:p>
      <w:pPr>
        <w:pStyle w:val="ListParagraph"/>
        <w:numPr>
          <w:ilvl w:val="0"/>
          <w:numId w:val="1"/>
        </w:numPr>
        <w:spacing w:after="80"/>
      </w:pPr>
      <w:r>
        <w:t xml:space="preserve">Qual a diferença entre green card condicional e permanente?</w:t>
      </w:r>
    </w:p>
    <w:p>
      <w:pPr>
        <w:spacing w:after="150"/>
      </w:pPr>
      <w:r>
        <w:t xml:space="preserve">Cada resposta deve reforçar RN08 (isenção de responsabilidade) sempre que tratar de prazos, custos ou promessas de aprovação, e citar a exceção da Loteria de Vistos com precisão (RN06), evitando induzir o usuário a se inscrever sem checar a elegibilidade real.</w:t>
      </w:r>
    </w:p>
    <w:p>
      <w:pPr>
        <w:pStyle w:val="Heading1"/>
        <w:spacing w:after="200" w:before="400"/>
      </w:pPr>
      <w:r>
        <w:t xml:space="preserve">7. Critérios de Aceite do Módulo Green Card</w:t>
      </w:r>
    </w:p>
    <w:p>
      <w:pPr>
        <w:pStyle w:val="ListParagraph"/>
        <w:numPr>
          <w:ilvl w:val="0"/>
          <w:numId w:val="1"/>
        </w:numPr>
        <w:spacing w:after="80"/>
      </w:pPr>
      <w:r>
        <w:t xml:space="preserve">[ ] Card de calculadora exibe as 2 abas ("Chance de Visto" e "Chance de Green Card") sem recarregar a página.</w:t>
      </w:r>
    </w:p>
    <w:p>
      <w:pPr>
        <w:pStyle w:val="ListParagraph"/>
        <w:numPr>
          <w:ilvl w:val="0"/>
          <w:numId w:val="1"/>
        </w:numPr>
        <w:spacing w:after="80"/>
      </w:pPr>
      <w:r>
        <w:t xml:space="preserve">[ ] Função calculateGreenCardChance() isolada, sem interferir na lógica de calculateVisaChance() (RN05).</w:t>
      </w:r>
    </w:p>
    <w:p>
      <w:pPr>
        <w:pStyle w:val="ListParagraph"/>
        <w:numPr>
          <w:ilvl w:val="0"/>
          <w:numId w:val="1"/>
        </w:numPr>
        <w:spacing w:after="80"/>
      </w:pPr>
      <w:r>
        <w:t xml:space="preserve">[ ] Pergunta sobre país de nascimento do cônjuge/pai só aparece quando "Loteria de Vistos" é selecionada.</w:t>
      </w:r>
    </w:p>
    <w:p>
      <w:pPr>
        <w:pStyle w:val="ListParagraph"/>
        <w:numPr>
          <w:ilvl w:val="0"/>
          <w:numId w:val="1"/>
        </w:numPr>
        <w:spacing w:after="80"/>
      </w:pPr>
      <w:r>
        <w:t xml:space="preserve">[ ] Resultado exibe score E faixa estimada de tempo, nunca apenas um veredito binário (RN07).</w:t>
      </w:r>
    </w:p>
    <w:p>
      <w:pPr>
        <w:pStyle w:val="ListParagraph"/>
        <w:numPr>
          <w:ilvl w:val="0"/>
          <w:numId w:val="1"/>
        </w:numPr>
        <w:spacing w:after="80"/>
      </w:pPr>
      <w:r>
        <w:t xml:space="preserve">[ ] Aviso sobre a não elegibilidade do Brasil na Loteria de Vistos está visível na aba e no conteúdo educativo (RN06).</w:t>
      </w:r>
    </w:p>
    <w:p>
      <w:pPr>
        <w:pStyle w:val="ListParagraph"/>
        <w:numPr>
          <w:ilvl w:val="0"/>
          <w:numId w:val="1"/>
        </w:numPr>
        <w:spacing w:after="80"/>
      </w:pPr>
      <w:r>
        <w:t xml:space="preserve">[ ] Disclaimer jurídico reforçado presente na tela de resultado da aba Green Card (RN08).</w:t>
      </w:r>
    </w:p>
    <w:p>
      <w:pPr>
        <w:pStyle w:val="ListParagraph"/>
        <w:numPr>
          <w:ilvl w:val="0"/>
          <w:numId w:val="1"/>
        </w:numPr>
        <w:spacing w:after="80"/>
      </w:pPr>
      <w:r>
        <w:t xml:space="preserve">[ ] Página de FAQ atualizada com as perguntas da seção 6.1, com H1/H2/H3 corretos.</w:t>
      </w:r>
    </w:p>
    <w:p>
      <w:pPr>
        <w:pStyle w:val="ListParagraph"/>
        <w:numPr>
          <w:ilvl w:val="0"/>
          <w:numId w:val="1"/>
        </w:numPr>
        <w:spacing w:after="80"/>
      </w:pPr>
      <w:r>
        <w:t xml:space="preserve">[ ] Novo espaço de anúncio in-feed implementado sem prejudicar a leitura do conteúdo educativo.</w:t>
      </w:r>
    </w:p>
    <w:p>
      <w:pPr>
        <w:pStyle w:val="ListParagraph"/>
        <w:numPr>
          <w:ilvl w:val="0"/>
          <w:numId w:val="1"/>
        </w:numPr>
        <w:spacing w:after="80"/>
      </w:pPr>
      <w:r>
        <w:t xml:space="preserve">[ ] Nenhum dado pessoal coletado ou armazenado nesta calculadora (mantém RN02).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a3d" w:sz="8" w:space="4"/>
      </w:pBdr>
      <w:spacing w:after="200" w:before="400"/>
    </w:pPr>
    <w:rPr>
      <w:rFonts w:ascii="Calibri" w:cs="Calibri" w:eastAsia="Calibri" w:hAnsi="Calibri"/>
      <w:b/>
      <w:bCs/>
      <w:color w:val="0a2540"/>
      <w:sz w:val="32"/>
      <w:szCs w:val="32"/>
    </w:rPr>
  </w:style>
  <w:style w:type="paragraph" w:styleId="Heading2">
    <w:name w:val="Heading 2"/>
    <w:basedOn w:val="Normal"/>
    <w:next w:val="Normal"/>
    <w:qFormat/>
    <w:pPr>
      <w:spacing w:after="150" w:before="300"/>
    </w:pPr>
    <w:rPr>
      <w:rFonts w:ascii="Calibri" w:cs="Calibri" w:eastAsia="Calibri" w:hAnsi="Calibri"/>
      <w:b/>
      <w:bCs/>
      <w:color w:val="0a2540"/>
      <w:sz w:val="26"/>
      <w:szCs w:val="26"/>
    </w:rPr>
  </w:style>
  <w:style w:type="paragraph" w:styleId="Heading3">
    <w:name w:val="Heading 3"/>
    <w:basedOn w:val="Normal"/>
    <w:next w:val="Normal"/>
    <w:qFormat/>
    <w:pPr>
      <w:spacing w:after="100" w:before="200"/>
    </w:pPr>
    <w:rPr>
      <w:rFonts w:ascii="Calibri" w:cs="Calibri" w:eastAsia="Calibri" w:hAnsi="Calibri"/>
      <w:b/>
      <w:bCs/>
      <w:color w:val="1f7a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2026-07-19T20:00:45.639Z</dcterms:created>
  <dcterms:modified xsi:type="dcterms:W3CDTF">2026-07-19T20:00:45.652Z</dcterms:modified>
</cp:coreProperties>
</file>

<file path=docProps/custom.xml><?xml version="1.0" encoding="utf-8"?>
<Properties xmlns="http://schemas.openxmlformats.org/officeDocument/2006/custom-properties" xmlns:vt="http://schemas.openxmlformats.org/officeDocument/2006/docPropsVTypes"/>
</file>