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4617" w14:textId="77777777" w:rsidR="00723C21" w:rsidRDefault="00144819">
      <w:pPr>
        <w:spacing w:after="80"/>
      </w:pPr>
      <w:r>
        <w:rPr>
          <w:noProof/>
        </w:rPr>
        <w:drawing>
          <wp:inline distT="0" distB="0" distL="0" distR="0" wp14:anchorId="498A12E0" wp14:editId="5102ED1F">
            <wp:extent cx="11430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DB2A" w14:textId="77777777" w:rsidR="00723C21" w:rsidRDefault="00144819">
      <w:pPr>
        <w:pBdr>
          <w:bottom w:val="single" w:sz="18" w:space="2" w:color="C8602A"/>
        </w:pBdr>
        <w:spacing w:after="40"/>
      </w:pPr>
      <w:r>
        <w:rPr>
          <w:sz w:val="2"/>
          <w:szCs w:val="2"/>
        </w:rPr>
        <w:t xml:space="preserve"> </w:t>
      </w:r>
    </w:p>
    <w:p w14:paraId="4EEFA902" w14:textId="77777777" w:rsidR="00723C21" w:rsidRDefault="00144819">
      <w:pPr>
        <w:spacing w:after="1400"/>
      </w:pPr>
      <w:r>
        <w:rPr>
          <w:caps/>
          <w:color w:val="666666"/>
          <w:sz w:val="18"/>
          <w:szCs w:val="18"/>
        </w:rPr>
        <w:t>PORTO</w:t>
      </w:r>
    </w:p>
    <w:p w14:paraId="5B3387E5" w14:textId="77777777" w:rsidR="00723C21" w:rsidRDefault="00144819">
      <w:pPr>
        <w:spacing w:after="160"/>
      </w:pPr>
      <w:r>
        <w:rPr>
          <w:rFonts w:ascii="Georgia" w:eastAsia="Georgia" w:hAnsi="Georgia" w:cs="Georgia"/>
          <w:color w:val="1B3A7A"/>
          <w:sz w:val="64"/>
          <w:szCs w:val="64"/>
        </w:rPr>
        <w:t>Dashboard de Análise de Mercado em Power BI</w:t>
      </w:r>
    </w:p>
    <w:p w14:paraId="62F131AF" w14:textId="77777777" w:rsidR="00723C21" w:rsidRDefault="00144819">
      <w:pPr>
        <w:spacing w:after="200"/>
      </w:pPr>
      <w:r>
        <w:rPr>
          <w:rFonts w:ascii="Georgia" w:eastAsia="Georgia" w:hAnsi="Georgia" w:cs="Georgia"/>
          <w:color w:val="009999"/>
          <w:sz w:val="36"/>
          <w:szCs w:val="36"/>
        </w:rPr>
        <w:t>Mercado de Construção dos EUA — do modelo de dados à visualização interativa</w:t>
      </w:r>
    </w:p>
    <w:p w14:paraId="5A0BEA14" w14:textId="77777777" w:rsidR="00723C21" w:rsidRDefault="00144819">
      <w:pPr>
        <w:spacing w:after="1800"/>
      </w:pPr>
      <w:r>
        <w:rPr>
          <w:i/>
          <w:iCs/>
          <w:color w:val="666666"/>
          <w:sz w:val="24"/>
          <w:szCs w:val="24"/>
        </w:rPr>
        <w:t>Relatório técnico — Business Analytics</w:t>
      </w:r>
    </w:p>
    <w:p w14:paraId="161FE380" w14:textId="4663A637" w:rsidR="00723C21" w:rsidRDefault="00723C21">
      <w:pPr>
        <w:spacing w:after="1400"/>
      </w:pPr>
    </w:p>
    <w:p w14:paraId="60675DFF" w14:textId="77777777" w:rsidR="00723C21" w:rsidRDefault="00144819">
      <w:r>
        <w:t>Universidade Católica Portuguesa – Porto</w:t>
      </w:r>
    </w:p>
    <w:p w14:paraId="788DD7D3" w14:textId="77777777" w:rsidR="00723C21" w:rsidRPr="00927EC4" w:rsidRDefault="00144819">
      <w:pPr>
        <w:rPr>
          <w:lang w:val="en-GB"/>
        </w:rPr>
      </w:pPr>
      <w:r w:rsidRPr="00927EC4">
        <w:rPr>
          <w:lang w:val="en-GB"/>
        </w:rPr>
        <w:t>Católica Porto Business School</w:t>
      </w:r>
    </w:p>
    <w:p w14:paraId="749DB1D6" w14:textId="77777777" w:rsidR="00723C21" w:rsidRPr="00927EC4" w:rsidRDefault="00144819">
      <w:pPr>
        <w:rPr>
          <w:lang w:val="en-GB"/>
        </w:rPr>
      </w:pPr>
      <w:r w:rsidRPr="00927EC4">
        <w:rPr>
          <w:lang w:val="en-GB"/>
        </w:rPr>
        <w:t>MBA Executivo  |  Business Analytics</w:t>
      </w:r>
    </w:p>
    <w:p w14:paraId="60BC4611" w14:textId="0B555647" w:rsidR="00723C21" w:rsidRDefault="00144819">
      <w:pPr>
        <w:spacing w:after="700"/>
      </w:pPr>
      <w:r>
        <w:t>Porto</w:t>
      </w:r>
    </w:p>
    <w:p w14:paraId="31D8E699" w14:textId="77777777" w:rsidR="00723C21" w:rsidRDefault="00144819">
      <w:r>
        <w:rPr>
          <w:noProof/>
        </w:rPr>
        <w:drawing>
          <wp:inline distT="0" distB="0" distL="0" distR="0" wp14:anchorId="784F9E9E" wp14:editId="218503DE">
            <wp:extent cx="4191000" cy="266700"/>
            <wp:effectExtent l="0" t="0" r="0" b="0"/>
            <wp:docPr id="216184797" name="Picture 216184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F0D" w14:textId="77777777" w:rsidR="00723C21" w:rsidRDefault="00723C21">
      <w:pPr>
        <w:sectPr w:rsidR="00723C21">
          <w:pgSz w:w="11906" w:h="16838"/>
          <w:pgMar w:top="1000" w:right="1200" w:bottom="800" w:left="1200" w:header="708" w:footer="708" w:gutter="0"/>
          <w:cols w:space="720"/>
          <w:docGrid w:linePitch="360"/>
        </w:sectPr>
      </w:pPr>
    </w:p>
    <w:p w14:paraId="24CC8CE7" w14:textId="77777777" w:rsidR="00723C21" w:rsidRDefault="00144819">
      <w:pPr>
        <w:pStyle w:val="Heading1"/>
        <w:spacing w:before="360" w:after="200"/>
      </w:pPr>
      <w:r>
        <w:rPr>
          <w:rFonts w:ascii="Georgia" w:eastAsia="Georgia" w:hAnsi="Georgia" w:cs="Georgia"/>
          <w:color w:val="1B3A7A"/>
          <w:sz w:val="44"/>
          <w:szCs w:val="44"/>
        </w:rPr>
        <w:lastRenderedPageBreak/>
        <w:t>1. Objetivo e contexto</w:t>
      </w:r>
    </w:p>
    <w:p w14:paraId="564631F7" w14:textId="77777777" w:rsidR="00723C21" w:rsidRDefault="00144819">
      <w:pPr>
        <w:spacing w:after="120" w:line="276" w:lineRule="auto"/>
        <w:jc w:val="both"/>
      </w:pPr>
      <w:r>
        <w:t>Este trabalho desenvolve um dashboard interativo em Power BI para a análise do mercado de construção dos Estados Unidos, centrado em três segmentos verticais: hotelaria, saúde e residencial de luxo.</w:t>
      </w:r>
    </w:p>
    <w:p w14:paraId="5DF7A579" w14:textId="77777777" w:rsidR="00723C21" w:rsidRDefault="00144819">
      <w:pPr>
        <w:pStyle w:val="Heading2"/>
        <w:spacing w:before="280" w:after="140"/>
      </w:pPr>
      <w:r>
        <w:rPr>
          <w:rFonts w:ascii="Georgia" w:eastAsia="Georgia" w:hAnsi="Georgia" w:cs="Georgia"/>
          <w:color w:val="1B3A7A"/>
          <w:sz w:val="32"/>
          <w:szCs w:val="32"/>
        </w:rPr>
        <w:t>1.1 Sinergia entre a unidade curricular e o projeto de consultoria</w:t>
      </w:r>
    </w:p>
    <w:p w14:paraId="0093FD82" w14:textId="002176EE" w:rsidR="00723C21" w:rsidRDefault="00144819">
      <w:pPr>
        <w:spacing w:after="120" w:line="276" w:lineRule="auto"/>
        <w:jc w:val="both"/>
      </w:pPr>
      <w:r>
        <w:t>Optámos por ligar esta unidade curricular ao projeto de consultoria que o grupo tem em curso no MBA com a Amorim Cork Solutions. Em vez de construir um dashboard sobre um conjunto de dados fictício ou de demonstração, aplicámos as técnicas lecionadas a um caso real, com os problemas que daí decorrem.</w:t>
      </w:r>
      <w:r w:rsidR="00B621C7"/>
      <w:r/>
      <w:r>
        <w:rPr>
          <w:b/>
          <w:bCs/>
        </w:rPr>
      </w:r>
      <w:r/>
      <w:r w:rsidR="00A449C8"/>
    </w:p>
    <w:p w14:paraId="487122F1" w14:textId="40AF80E8" w:rsidR="00723C21" w:rsidRDefault="00144819">
      <w:pPr>
        <w:spacing w:after="120" w:line="276" w:lineRule="auto"/>
        <w:jc w:val="both"/>
      </w:pPr>
      <w:r>
        <w:t>A escolha trouxe duas vantagens. Obrigou-nos a lidar com dados reais, dispersos por fontes heterogéneas e em unidades que não são diretamente comparáveis entre si, em vez de um ficheiro já limpo e pré-formatado. Impôs também disciplina na seleção dos visuais: o dashboard responde a perguntas de negócio concretas e é avaliado pela utilidade, não pela variedade de gráficos que consegue exibir.</w:t>
      </w:r>
      <w:r w:rsidR="00A449C8"/>
      <w:r/>
      <w:r w:rsidR="00A449C8"/>
      <w:r/>
      <w:r w:rsidR="002B2981"/>
      <w:r/>
    </w:p>
    <w:p w14:paraId="375652AA" w14:textId="77777777" w:rsidR="00723C21" w:rsidRDefault="00144819">
      <w:pPr>
        <w:pStyle w:val="Heading1"/>
        <w:spacing w:before="360" w:after="200"/>
      </w:pPr>
      <w:r>
        <w:rPr>
          <w:rFonts w:ascii="Georgia" w:eastAsia="Georgia" w:hAnsi="Georgia" w:cs="Georgia"/>
          <w:color w:val="1B3A7A"/>
          <w:sz w:val="44"/>
          <w:szCs w:val="44"/>
        </w:rPr>
        <w:t>2. Dados e modelo</w:t>
      </w:r>
    </w:p>
    <w:p w14:paraId="05AE2445" w14:textId="77777777" w:rsidR="00723C21" w:rsidRDefault="00144819">
      <w:pPr>
        <w:spacing w:after="120" w:line="276" w:lineRule="auto"/>
        <w:jc w:val="both"/>
      </w:pPr>
      <w:r>
        <w:t>A base de dados foi construída de raiz a partir de fontes públicas primárias. Recolhemos séries mensais de despesa de construção do U.S. Census Bureau (C30) e da FRED, licenças de construção por estado do Building Permits Survey, índices de preços Case-Shiller, indicadores macroeconómicos como taxas de juro e custos de materiais, e dados setoriais de trackers especializados (Lodging Econometrics, NIC MAP, ConstructConnect). O ficheiro Excel resultante tem mais de 16.000 observações.</w:t>
      </w:r>
    </w:p>
    <w:p w14:paraId="04B21CBF" w14:textId="46E00F50" w:rsidR="00723C21" w:rsidRDefault="00144819">
      <w:pPr>
        <w:spacing w:after="120" w:line="276" w:lineRule="auto"/>
        <w:jc w:val="both"/>
      </w:pPr>
      <w:r>
        <w:t>O modelo segue um esquema em estrela, com seis tabelas de factos (despesa de construção, licenças nacionais e por estado, indicadores macro, preços de habitação e observações de mercado) rodeadas por dez tabelas de dimensão: segmento, sub-segmento, geografia, estado, cidade, métrica, categoria, indicador, fonte e calendário. A dimensão de fontes permite responder, em qualquer visual, à pergunta de onde vem aquele número. Juntam-se ainda quatro tabelas de referência sem relações, usadas para o dimensionamento do mercado e para a análise de cenários.</w:t>
      </w:r>
      <w:r w:rsidR="00393226"/>
      <w:r/>
      <w:r w:rsidR="00393226"/>
      <w:r/>
    </w:p>
    <w:p w14:paraId="40058F46" w14:textId="4247EAC5" w:rsidR="00723C21" w:rsidRDefault="00144819">
      <w:pPr>
        <w:spacing w:after="120" w:line="276" w:lineRule="auto"/>
        <w:jc w:val="both"/>
      </w:pPr>
      <w:r>
        <w:t>Sobre o modelo criámos medidas de vários tipos. As agregações base distinguem o que é somável do que não é, usando SUM para grandezas aditivas e AVERAGE para índices e taxas, já que somar taxas de juro não tem significado. Há medidas derivadas, como o preço médio por unidade, e medidas de tempo que calculam a variação homóloga com DATEADD sobre uma tabela de calendário dedicada, marcada como date table. Na página de segmentos aplicámos o padrão SWITCH(SELECTEDVALUE(...)) para gerar KPIs e títulos que mudam com o segmento escolhido no slicer. O funil da primeira página exigiu ainda uma medida que normaliza unidades: o TAM e o SAM estão registados em mil milhões de dólares e o SOM em milhões, pelo que a medida lê a unidade na dimensão de métricas e converte tudo para milhões antes de desenhar o funil. Para a página de sensibilidade, uma tabela de cenários de preço por metro quadrado, desligada do esquema em estrela, alimenta medidas que recalculam o SAM nacional, o sub-SAM da Califórnia e o intervalo de SOM em função do cenário selecionado.</w:t>
      </w:r>
      <w:r w:rsidR="00915E30"/>
      <w:r/>
      <w:r w:rsidR="00915E30"/>
      <w:r/>
      <w:r w:rsidR="00915E30"/>
      <w:r/>
      <w:r w:rsidR="00915E30"/>
    </w:p>
    <w:p w14:paraId="79558129" w14:textId="77777777" w:rsidR="00915E30" w:rsidRDefault="00915E30">
      <w:pPr>
        <w:spacing w:after="120" w:line="276" w:lineRule="auto"/>
        <w:jc w:val="both"/>
      </w:pPr>
    </w:p>
    <w:p w14:paraId="305639A3" w14:textId="77777777" w:rsidR="00723C21" w:rsidRDefault="00144819">
      <w:pPr>
        <w:pStyle w:val="Heading1"/>
        <w:spacing w:before="360" w:after="200"/>
      </w:pPr>
      <w:r>
        <w:rPr>
          <w:rFonts w:ascii="Georgia" w:eastAsia="Georgia" w:hAnsi="Georgia" w:cs="Georgia"/>
          <w:color w:val="1B3A7A"/>
          <w:sz w:val="44"/>
          <w:szCs w:val="44"/>
        </w:rPr>
        <w:t>3. Estrutura do dashboard</w:t>
      </w:r>
    </w:p>
    <w:p w14:paraId="76EDE772" w14:textId="4A15FE80" w:rsidR="00723C21" w:rsidRDefault="00144819">
      <w:pPr>
        <w:spacing w:after="120" w:line="276" w:lineRule="auto"/>
        <w:jc w:val="both"/>
      </w:pPr>
      <w:r>
        <w:t>O dashboard está organizado em sete páginas. Cada uma responde a uma pergunta de negócio, e foi esse critério, e não a vontade de mostrar visuais, que determinou a escolha dos gráficos em cada caso:</w:t>
      </w:r>
      <w:r w:rsidR="00007472"/>
      <w:r/>
      <w:r w:rsidR="00007472"/>
      <w:r/>
      <w:r w:rsidR="00007472"/>
      <w:r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800"/>
      </w:tblGrid>
      <w:tr w:rsidR="00723C21" w14:paraId="2147C78C" w14:textId="77777777">
        <w:tc>
          <w:tcPr>
            <w:tcW w:w="2800" w:type="dxa"/>
            <w:shd w:val="clear" w:color="auto" w:fill="1B3A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FA53" w14:textId="77777777" w:rsidR="00723C21" w:rsidRDefault="0014481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Página</w:t>
            </w:r>
          </w:p>
        </w:tc>
        <w:tc>
          <w:tcPr>
            <w:tcW w:w="3400" w:type="dxa"/>
            <w:shd w:val="clear" w:color="auto" w:fill="1B3A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0A02" w14:textId="77777777" w:rsidR="00723C21" w:rsidRDefault="00144819"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3800" w:type="dxa"/>
            <w:shd w:val="clear" w:color="auto" w:fill="1B3A7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CFFB" w14:textId="77777777" w:rsidR="00723C21" w:rsidRDefault="00144819">
            <w:r>
              <w:rPr>
                <w:b/>
                <w:bCs/>
                <w:color w:val="FFFFFF"/>
                <w:sz w:val="20"/>
                <w:szCs w:val="20"/>
              </w:rPr>
              <w:t>Visuais principais</w:t>
            </w:r>
          </w:p>
        </w:tc>
      </w:tr>
      <w:tr w:rsidR="00723C21" w14:paraId="2BD64F2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06F9" w14:textId="77777777" w:rsidR="00723C21" w:rsidRDefault="00144819">
            <w:r>
              <w:rPr>
                <w:b/>
                <w:bCs/>
                <w:sz w:val="20"/>
                <w:szCs w:val="20"/>
              </w:rPr>
              <w:t>1. Funil de Mercado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5261" w14:textId="77777777" w:rsidR="00723C21" w:rsidRDefault="00144819">
            <w:r>
              <w:rPr>
                <w:sz w:val="20"/>
                <w:szCs w:val="20"/>
              </w:rPr>
              <w:t>Onde está o dinheiro?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177F" w14:textId="77777777" w:rsidR="00723C21" w:rsidRDefault="00144819">
            <w:r>
              <w:rPr>
                <w:sz w:val="20"/>
                <w:szCs w:val="20"/>
              </w:rPr>
              <w:t>Funnel TAM/SAM/SOM, cartões KPI, barras, treemap</w:t>
            </w:r>
          </w:p>
        </w:tc>
      </w:tr>
      <w:tr w:rsidR="00723C21" w14:paraId="7475818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B715" w14:textId="77777777" w:rsidR="00723C21" w:rsidRDefault="00144819">
            <w:r>
              <w:rPr>
                <w:b/>
                <w:bCs/>
                <w:sz w:val="20"/>
                <w:szCs w:val="20"/>
              </w:rPr>
              <w:t>2. Sensibilidade &amp; Cenários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5AA0" w14:textId="77777777" w:rsidR="00723C21" w:rsidRDefault="00144819">
            <w:r>
              <w:rPr>
                <w:sz w:val="20"/>
                <w:szCs w:val="20"/>
              </w:rPr>
              <w:t>Como escala o valor?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763A" w14:textId="77777777" w:rsidR="00723C21" w:rsidRDefault="00144819">
            <w:r>
              <w:rPr>
                <w:sz w:val="20"/>
                <w:szCs w:val="20"/>
              </w:rPr>
              <w:t>Cartões KPI, slicer de cenário sobre tabela desligada, tabela de sensibilidade, colunas por cenário</w:t>
            </w:r>
          </w:p>
        </w:tc>
      </w:tr>
      <w:tr w:rsidR="00723C21" w14:paraId="73B11B8A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9511" w14:textId="77777777" w:rsidR="00723C21" w:rsidRDefault="00144819">
            <w:r>
              <w:rPr>
                <w:b/>
                <w:bCs/>
                <w:sz w:val="20"/>
                <w:szCs w:val="20"/>
              </w:rPr>
              <w:t>3. Evolução &amp; Ciclo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8297" w14:textId="77777777" w:rsidR="00723C21" w:rsidRDefault="00144819">
            <w:r>
              <w:rPr>
                <w:sz w:val="20"/>
                <w:szCs w:val="20"/>
              </w:rPr>
              <w:t>Quando entrar?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DDC2" w14:textId="77777777" w:rsidR="00723C21" w:rsidRDefault="00144819">
            <w:r>
              <w:rPr>
                <w:sz w:val="20"/>
                <w:szCs w:val="20"/>
              </w:rPr>
              <w:t>Linhas multi-série, combo de dois eixos com forecast tracejado, cartões</w:t>
            </w:r>
          </w:p>
        </w:tc>
      </w:tr>
      <w:tr w:rsidR="00723C21" w14:paraId="3F82B98B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6295" w14:textId="77777777" w:rsidR="00723C21" w:rsidRDefault="00144819">
            <w:r>
              <w:rPr>
                <w:b/>
                <w:bCs/>
                <w:sz w:val="20"/>
                <w:szCs w:val="20"/>
              </w:rPr>
              <w:t>4. Geografia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EC3C" w14:textId="77777777" w:rsidR="00723C21" w:rsidRDefault="00144819">
            <w:r>
              <w:rPr>
                <w:sz w:val="20"/>
                <w:szCs w:val="20"/>
              </w:rPr>
              <w:t>Onde entrar?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883F" w14:textId="77777777" w:rsidR="00723C21" w:rsidRDefault="00144819">
            <w:r>
              <w:rPr>
                <w:sz w:val="20"/>
                <w:szCs w:val="20"/>
              </w:rPr>
              <w:t>Mapa de bolhas, scatter com play axis, barras por tier, slicers</w:t>
            </w:r>
          </w:p>
        </w:tc>
      </w:tr>
      <w:tr w:rsidR="00723C21" w14:paraId="0F5D9D22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EF7A" w14:textId="77777777" w:rsidR="00723C21" w:rsidRDefault="00144819">
            <w:r>
              <w:rPr>
                <w:b/>
                <w:bCs/>
                <w:sz w:val="20"/>
                <w:szCs w:val="20"/>
              </w:rPr>
              <w:t>5. Drivers Macro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D6F6" w14:textId="77777777" w:rsidR="00723C21" w:rsidRDefault="00144819">
            <w:r>
              <w:rPr>
                <w:sz w:val="20"/>
                <w:szCs w:val="20"/>
              </w:rPr>
              <w:t>Que enquadramento?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A8BAF" w14:textId="77777777" w:rsidR="00723C21" w:rsidRDefault="00144819">
            <w:r>
              <w:rPr>
                <w:sz w:val="20"/>
                <w:szCs w:val="20"/>
              </w:rPr>
              <w:t>Linhas multi-série com drill, cartões, slicer de tier</w:t>
            </w:r>
          </w:p>
        </w:tc>
      </w:tr>
      <w:tr w:rsidR="00723C21" w14:paraId="77B9CB00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CBB0" w14:textId="77777777" w:rsidR="00723C21" w:rsidRDefault="00144819">
            <w:r>
              <w:rPr>
                <w:b/>
                <w:bCs/>
                <w:sz w:val="20"/>
                <w:szCs w:val="20"/>
              </w:rPr>
              <w:t>6. Procura por Segmento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EA77" w14:textId="77777777" w:rsidR="00723C21" w:rsidRDefault="00144819">
            <w:r>
              <w:rPr>
                <w:sz w:val="20"/>
                <w:szCs w:val="20"/>
              </w:rPr>
              <w:t>Como entrar?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B4AB" w14:textId="77777777" w:rsidR="00723C21" w:rsidRDefault="00144819">
            <w:r>
              <w:rPr>
                <w:sz w:val="20"/>
                <w:szCs w:val="20"/>
              </w:rPr>
              <w:t>KPIs dinâmicos por DAX, ribbon chart, tabela com fontes, slicer</w:t>
            </w:r>
          </w:p>
        </w:tc>
      </w:tr>
      <w:tr w:rsidR="00723C21" w14:paraId="52721011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B8C3" w14:textId="77777777" w:rsidR="00723C21" w:rsidRDefault="00144819">
            <w:r>
              <w:rPr>
                <w:b/>
                <w:bCs/>
                <w:sz w:val="20"/>
                <w:szCs w:val="20"/>
              </w:rPr>
              <w:t>7. Exploração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CAC2" w14:textId="77777777" w:rsidR="00723C21" w:rsidRDefault="00144819">
            <w:r>
              <w:rPr>
                <w:sz w:val="20"/>
                <w:szCs w:val="20"/>
              </w:rPr>
              <w:t>Explorar livremente</w:t>
            </w:r>
          </w:p>
        </w:tc>
        <w:tc>
          <w:tcPr>
            <w:tcW w:w="3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05DFA" w14:textId="77777777" w:rsidR="00723C21" w:rsidRDefault="00144819">
            <w:r>
              <w:rPr>
                <w:sz w:val="20"/>
                <w:szCs w:val="20"/>
              </w:rPr>
              <w:t>Árvore de decomposição, matriz de região por tipo de estrutura, slicers</w:t>
            </w:r>
          </w:p>
        </w:tc>
      </w:tr>
    </w:tbl>
    <w:p w14:paraId="7CDF4A9E" w14:textId="77777777" w:rsidR="00723C21" w:rsidRDefault="00723C21">
      <w:pPr>
        <w:spacing w:after="160"/>
      </w:pPr>
    </w:p>
    <w:p w14:paraId="1D3E8590" w14:textId="77777777" w:rsidR="00723C21" w:rsidRDefault="00144819">
      <w:pPr>
        <w:pStyle w:val="Heading1"/>
        <w:spacing w:before="360" w:after="200"/>
      </w:pPr>
      <w:r>
        <w:rPr>
          <w:rFonts w:ascii="Georgia" w:eastAsia="Georgia" w:hAnsi="Georgia" w:cs="Georgia"/>
          <w:color w:val="1B3A7A"/>
          <w:sz w:val="44"/>
          <w:szCs w:val="44"/>
        </w:rPr>
        <w:t>4. Técnicas aplicadas</w:t>
      </w:r>
    </w:p>
    <w:p w14:paraId="0296AA07" w14:textId="77777777" w:rsidR="00723C21" w:rsidRDefault="00144819">
      <w:pPr>
        <w:spacing w:after="120" w:line="276" w:lineRule="auto"/>
        <w:jc w:val="both"/>
      </w:pPr>
      <w:r>
        <w:t>As técnicas de Power BI aplicadas no dashboard são as seguintes:</w:t>
      </w:r>
    </w:p>
    <w:p w14:paraId="6905714F" w14:textId="77777777" w:rsidR="00723C21" w:rsidRDefault="00144819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Visuais: gráficos de barras e de colunas, incluindo colunas agrupadas, um ribbon chart para acompanhar a evolução relativa de três categorias ao longo do tempo, linhas multi-série, um gráfico combinado de linha e colunas com dois eixos (com o forecast a tracejado, para distinguir projeção de histórico), um scatter plot com play axis que anima o período de 2019 a 2025, treemap, mapa de bolhas, funnel, cartões clássicos e cartões com texto dinâmico gerado por DAX, tabela, matriz e árvore de decomposição.</w:t>
      </w:r>
      <w:r/>
    </w:p>
    <w:p w14:paraId="10D8C855" w14:textId="77777777" w:rsidR="00723C21" w:rsidRDefault="00144819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Interatividade: slicers em quatro variantes (mosaico, dropdown, intervalo e seleção única), drill-down hierárquico de Ano para Trimestre e Mês nas séries temporais, tooltips com a fonte dos dados nos visuais, e cross-filtering entre visuais da mesma página. Nalguns casos as interações foram desligadas de propósito: na página de sensibilidade, o slicer de cenário atualiza os cartões de KPI mas não filtra o gráfico nem a tabela, que devem manter sempre os cinco pontos de comparação à vista.</w:t>
      </w:r>
      <w:r/>
    </w:p>
    <w:p w14:paraId="678A2D2F" w14:textId="3B92CE36" w:rsidR="00723C21" w:rsidRDefault="00144819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Modelação: esquema em estrela com relações um-para-muitos e filtro em direção única, tabela de calendário dedicada, medidas DAX com time intelligence, KPIs dinâmicos por SWITCH e SELECTEDVALUE, uma medida de normalização de unidades para o funil, e tabelas de referência desligadas do modelo que suportam a análise what-if de sensibilidade ao preço.</w:t>
      </w:r>
      <w:r/>
    </w:p>
    <w:p w14:paraId="3AF448C7" w14:textId="77777777" w:rsidR="00723C21" w:rsidRDefault="00144819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Design: codificação de cor consistente por tier de prioridade em todos os visuais da página de geografia, de modo a que a mesma cor signifique sempre o mesmo; tooltips que registam a fonte e as cautelas de leitura nos indicadores mais suscetíveis de má interpretação; e rodapés de fontes em todas as páginas.</w:t>
      </w:r>
      <w:r/>
    </w:p>
    <w:p w14:paraId="4898D8ED" w14:textId="77777777" w:rsidR="00723C21" w:rsidRDefault="00144819">
      <w:pPr>
        <w:pStyle w:val="Heading2"/>
        <w:spacing w:before="280" w:after="140"/>
      </w:pPr>
      <w:r>
        <w:rPr>
          <w:rFonts w:ascii="Georgia" w:eastAsia="Georgia" w:hAnsi="Georgia" w:cs="Georgia"/>
          <w:color w:val="1B3A7A"/>
          <w:sz w:val="32"/>
          <w:szCs w:val="32"/>
        </w:rPr>
        <w:t>4.1 Decisões fundamentadas: o que não foi usado</w:t>
      </w:r>
    </w:p>
    <w:p w14:paraId="2AC6E5C0" w14:textId="2C6EDC65" w:rsidR="00723C21" w:rsidRDefault="00144819">
      <w:pPr>
        <w:spacing w:after="120" w:line="276" w:lineRule="auto"/>
        <w:jc w:val="both"/>
      </w:pPr>
      <w:r>
        <w:t>As técnicas que decidimos não usar dizem tanto sobre o trabalho como as que usámos. Não recorremos a gráficos circulares, donut ou pie, porque a perceção humana compara mal ângulos e áreas, e acima de três ou quatro categorias tornam-se ilegíveis; os mesmos dados comunicam melhor em barras ordenadas. Avaliámos o visual de key influencers e descartámo-lo: o modelo é sobretudo agregado, com dados por estado e por ano, e não tem granularidade suficiente para o algoritmo produzir influências com valor estatístico. Testámos também um cruzamento de volume com valor declarado por unidade para identificar mercados premium, mas abandonámo-lo depois de verificar que colocava estados como o Indiana ou o Wisconsin acima do Texas e da Califórnia, resultado que contradiz os dados setoriais e revela a fragilidade daquele indicador. Por fim, evitámos misturar métricas de unidades diferentes no mesmo eixo, impondo filtros de unidade nos visuais agregadores.</w:t>
      </w:r>
      <w:r w:rsidR="003569ED"/>
      <w:r/>
      <w:r w:rsidR="003569ED"/>
      <w:r/>
      <w:r w:rsidR="00A314DC"/>
      <w:r/>
      <w:r w:rsidR="001C2FC6"/>
      <w:r/>
    </w:p>
    <w:p w14:paraId="2B68AE93" w14:textId="77777777" w:rsidR="00723C21" w:rsidRDefault="00144819">
      <w:pPr>
        <w:pStyle w:val="Heading1"/>
        <w:spacing w:before="360" w:after="200"/>
      </w:pPr>
      <w:r>
        <w:rPr>
          <w:rFonts w:ascii="Georgia" w:eastAsia="Georgia" w:hAnsi="Georgia" w:cs="Georgia"/>
          <w:color w:val="1B3A7A"/>
          <w:sz w:val="44"/>
          <w:szCs w:val="44"/>
        </w:rPr>
        <w:lastRenderedPageBreak/>
        <w:t>5. Uso de inteligência artificial</w:t>
      </w:r>
    </w:p>
    <w:p w14:paraId="69FDFD3D" w14:textId="7A7B22F7" w:rsidR="00723C21" w:rsidRDefault="00144819">
      <w:pPr>
        <w:spacing w:after="120" w:line="276" w:lineRule="auto"/>
        <w:jc w:val="both"/>
      </w:pPr>
      <w:r>
        <w:t>Em nome da transparência académica, declara-se que foram utilizadas ferramentas de inteligência artificial generativa (Claude, da Anthropic) ao longo do trabalho. O seu papel concentrou-se em três frentes:</w:t>
      </w:r>
      <w:r w:rsidR="00AC4C0B"/>
      <w:r/>
      <w:r w:rsidR="001C2FC6"/>
    </w:p>
    <w:p w14:paraId="4FE90412" w14:textId="1DA2E010" w:rsidR="00723C21" w:rsidRDefault="00144819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Pesquisa e identificação de fontes. A IA foi usada para localizar as fontes primárias e setoriais relevantes (séries da FRED e do U.S. Census Bureau, trackers como Lodging Econometrics, NIC MAP e ConstructConnect, índices Case-Shiller), identificar os códigos das séries a descarregar e sugerir que indicadores macroeconómicos seriam pertinentes. Os ficheiros foram, em todos os casos, descarregados diretamente das fontes oficiais pelo grupo: a IA indicou onde procurar, não forneceu os dados.</w:t>
      </w:r>
      <w:r/>
      <w:r w:rsidR="001C2FC6"/>
      <w:r/>
    </w:p>
    <w:p w14:paraId="394E0A7E" w14:textId="0C7A8F2C" w:rsidR="00723C21" w:rsidRDefault="00144819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Estruturação do modelo e construção do dashboard. Apoio no desenho do esquema de dados, no tratamento e normalização dos ficheiros descarregados (harmonização de frequências, unidades e chaves), na escrita das medidas DAX e na implementação dos visuais e do layout das páginas.</w:t>
      </w:r>
      <w:r/>
      <w:r w:rsidR="000E45BF"/>
      <w:r/>
    </w:p>
    <w:p w14:paraId="3EDB4D46" w14:textId="75DCB9D7" w:rsidR="00723C21" w:rsidRDefault="00144819">
      <w:pPr>
        <w:spacing w:after="120" w:line="276" w:lineRule="auto"/>
        <w:jc w:val="both"/>
      </w:pPr>
      <w:r>
        <w:t>A definição das perguntas de negócio, a validação dos dados, as decisões analíticas e de desenho, a seleção e revisão crítica de cada visual e a redação final são da responsabilidade do grupo. As conclusões substantivas, incluindo os pressupostos assumidos e as limitações reconhecidas, resultam de julgamento próprio informado pelos dados. Várias propostas da ferramenta foram rejeitadas ou corrigidas pelo grupo por não resistirem a escrutínio, sendo o caso do cruzamento volume-valor referido acima o exemplo mais claro.</w:t>
      </w:r>
      <w:r w:rsidR="001C2FC6"/>
      <w:r/>
    </w:p>
    <w:p w14:paraId="7E3050DE" w14:textId="336DBE16" w:rsidR="00723C21" w:rsidRDefault="00144819">
      <w:pPr>
        <w:spacing w:after="120" w:line="276" w:lineRule="auto"/>
        <w:jc w:val="both"/>
      </w:pPr>
      <w:r>
        <w:t>Fica o registo de um comentário metodológico: a IA revelou-se mais valiosa como interlocutor crítico ao longo do processo do que como geradora de conteúdo.</w:t>
      </w:r>
      <w:r w:rsidR="00AC4C0B"/>
      <w:r/>
      <w:r w:rsidR="0037291D"/>
      <w:r/>
    </w:p>
    <w:p w14:paraId="1E9B4EB6" w14:textId="77777777" w:rsidR="00723C21" w:rsidRDefault="00144819">
      <w:pPr>
        <w:pStyle w:val="Heading1"/>
        <w:spacing w:before="360" w:after="200"/>
      </w:pPr>
      <w:r>
        <w:rPr>
          <w:rFonts w:ascii="Georgia" w:eastAsia="Georgia" w:hAnsi="Georgia" w:cs="Georgia"/>
          <w:color w:val="1B3A7A"/>
          <w:sz w:val="44"/>
          <w:szCs w:val="44"/>
        </w:rPr>
        <w:t>6. Conclusão</w:t>
      </w:r>
    </w:p>
    <w:p w14:paraId="47274B8C" w14:textId="02BDC371" w:rsidR="00723C21" w:rsidRDefault="00144819">
      <w:pPr>
        <w:spacing w:after="120" w:line="276" w:lineRule="auto"/>
        <w:jc w:val="both"/>
      </w:pPr>
      <w:r>
        <w:t>O exercício mostrou que a qualidade de um dashboard depende sobretudo da disciplina do desenho. Um modelo de dados sólido, com fontes rastreáveis, uma pergunta clara por página e o visual adequado a cada tipo de comparação valem mais do que a acumulação de gráficos. O resultado serve ao mesmo tempo a avaliação académica e um projeto de consultoria real.</w:t>
      </w:r>
      <w:r w:rsidR="00AC4C0B"/>
      <w:r/>
      <w:r w:rsidR="00782337"/>
      <w:r/>
      <w:r w:rsidR="00AD29DE"/>
    </w:p>
    <w:sectPr w:rsidR="00723C21">
      <w:headerReference w:type="default" r:id="rId9"/>
      <w:footerReference w:type="default" r:id="rId10"/>
      <w:pgSz w:w="11906" w:h="16838"/>
      <w:pgMar w:top="11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04B8" w14:textId="77777777" w:rsidR="006042CB" w:rsidRDefault="006042CB">
      <w:r>
        <w:separator/>
      </w:r>
    </w:p>
  </w:endnote>
  <w:endnote w:type="continuationSeparator" w:id="0">
    <w:p w14:paraId="5E093C76" w14:textId="77777777" w:rsidR="006042CB" w:rsidRDefault="00604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B5AC" w14:textId="537E5560" w:rsidR="00723C21" w:rsidRDefault="00144819">
    <w:pPr>
      <w:pBdr>
        <w:top w:val="single" w:sz="6" w:space="4" w:color="1B3A7A"/>
      </w:pBdr>
      <w:tabs>
        <w:tab w:val="right" w:pos="9026"/>
      </w:tabs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27EC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  <w:t>MBA Executivo — Business Analytics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8B8D" w14:textId="77777777" w:rsidR="006042CB" w:rsidRDefault="006042CB">
      <w:r>
        <w:separator/>
      </w:r>
    </w:p>
  </w:footnote>
  <w:footnote w:type="continuationSeparator" w:id="0">
    <w:p w14:paraId="6713D82B" w14:textId="77777777" w:rsidR="006042CB" w:rsidRDefault="00604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4C30" w14:textId="77777777" w:rsidR="00723C21" w:rsidRDefault="00144819">
    <w:pPr>
      <w:pBdr>
        <w:bottom w:val="single" w:sz="6" w:space="4" w:color="1B3A7A"/>
      </w:pBdr>
      <w:jc w:val="right"/>
    </w:pPr>
    <w:r>
      <w:rPr>
        <w:caps/>
        <w:color w:val="666666"/>
        <w:sz w:val="18"/>
        <w:szCs w:val="18"/>
      </w:rPr>
      <w:t>DASHBOARD DE ANÁLISE DE MERCADO EM POWER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82F37"/>
    <w:multiLevelType w:val="hybridMultilevel"/>
    <w:tmpl w:val="F660642A"/>
    <w:lvl w:ilvl="0" w:tplc="08BEB964">
      <w:start w:val="1"/>
      <w:numFmt w:val="bullet"/>
      <w:lvlText w:val="•"/>
      <w:lvlJc w:val="left"/>
      <w:pPr>
        <w:ind w:left="420" w:hanging="210"/>
      </w:pPr>
    </w:lvl>
    <w:lvl w:ilvl="1" w:tplc="B1E66200">
      <w:numFmt w:val="decimal"/>
      <w:lvlText w:val=""/>
      <w:lvlJc w:val="left"/>
    </w:lvl>
    <w:lvl w:ilvl="2" w:tplc="115C7D5C">
      <w:numFmt w:val="decimal"/>
      <w:lvlText w:val=""/>
      <w:lvlJc w:val="left"/>
    </w:lvl>
    <w:lvl w:ilvl="3" w:tplc="B97E9CE0">
      <w:numFmt w:val="decimal"/>
      <w:lvlText w:val=""/>
      <w:lvlJc w:val="left"/>
    </w:lvl>
    <w:lvl w:ilvl="4" w:tplc="B4825538">
      <w:numFmt w:val="decimal"/>
      <w:lvlText w:val=""/>
      <w:lvlJc w:val="left"/>
    </w:lvl>
    <w:lvl w:ilvl="5" w:tplc="C76E63C4">
      <w:numFmt w:val="decimal"/>
      <w:lvlText w:val=""/>
      <w:lvlJc w:val="left"/>
    </w:lvl>
    <w:lvl w:ilvl="6" w:tplc="DAB4C46E">
      <w:numFmt w:val="decimal"/>
      <w:lvlText w:val=""/>
      <w:lvlJc w:val="left"/>
    </w:lvl>
    <w:lvl w:ilvl="7" w:tplc="5AFC004E">
      <w:numFmt w:val="decimal"/>
      <w:lvlText w:val=""/>
      <w:lvlJc w:val="left"/>
    </w:lvl>
    <w:lvl w:ilvl="8" w:tplc="09EC035C">
      <w:numFmt w:val="decimal"/>
      <w:lvlText w:val=""/>
      <w:lvlJc w:val="left"/>
    </w:lvl>
  </w:abstractNum>
  <w:abstractNum w:abstractNumId="1" w15:restartNumberingAfterBreak="0">
    <w:nsid w:val="4D5C790C"/>
    <w:multiLevelType w:val="hybridMultilevel"/>
    <w:tmpl w:val="28DA7FAC"/>
    <w:lvl w:ilvl="0" w:tplc="6966005A">
      <w:start w:val="1"/>
      <w:numFmt w:val="bullet"/>
      <w:lvlText w:val="●"/>
      <w:lvlJc w:val="left"/>
      <w:pPr>
        <w:ind w:left="720" w:hanging="360"/>
      </w:pPr>
    </w:lvl>
    <w:lvl w:ilvl="1" w:tplc="D616BAB2">
      <w:start w:val="1"/>
      <w:numFmt w:val="bullet"/>
      <w:lvlText w:val="○"/>
      <w:lvlJc w:val="left"/>
      <w:pPr>
        <w:ind w:left="1440" w:hanging="360"/>
      </w:pPr>
    </w:lvl>
    <w:lvl w:ilvl="2" w:tplc="E0DA9CD8">
      <w:start w:val="1"/>
      <w:numFmt w:val="bullet"/>
      <w:lvlText w:val="■"/>
      <w:lvlJc w:val="left"/>
      <w:pPr>
        <w:ind w:left="2160" w:hanging="360"/>
      </w:pPr>
    </w:lvl>
    <w:lvl w:ilvl="3" w:tplc="863E781E">
      <w:start w:val="1"/>
      <w:numFmt w:val="bullet"/>
      <w:lvlText w:val="●"/>
      <w:lvlJc w:val="left"/>
      <w:pPr>
        <w:ind w:left="2880" w:hanging="360"/>
      </w:pPr>
    </w:lvl>
    <w:lvl w:ilvl="4" w:tplc="75EA0B94">
      <w:start w:val="1"/>
      <w:numFmt w:val="bullet"/>
      <w:lvlText w:val="○"/>
      <w:lvlJc w:val="left"/>
      <w:pPr>
        <w:ind w:left="3600" w:hanging="360"/>
      </w:pPr>
    </w:lvl>
    <w:lvl w:ilvl="5" w:tplc="A0D21354">
      <w:start w:val="1"/>
      <w:numFmt w:val="bullet"/>
      <w:lvlText w:val="■"/>
      <w:lvlJc w:val="left"/>
      <w:pPr>
        <w:ind w:left="4320" w:hanging="360"/>
      </w:pPr>
    </w:lvl>
    <w:lvl w:ilvl="6" w:tplc="D3C6C8D6">
      <w:start w:val="1"/>
      <w:numFmt w:val="bullet"/>
      <w:lvlText w:val="●"/>
      <w:lvlJc w:val="left"/>
      <w:pPr>
        <w:ind w:left="5040" w:hanging="360"/>
      </w:pPr>
    </w:lvl>
    <w:lvl w:ilvl="7" w:tplc="4E42C914">
      <w:start w:val="1"/>
      <w:numFmt w:val="bullet"/>
      <w:lvlText w:val="●"/>
      <w:lvlJc w:val="left"/>
      <w:pPr>
        <w:ind w:left="5760" w:hanging="360"/>
      </w:pPr>
    </w:lvl>
    <w:lvl w:ilvl="8" w:tplc="83CEFC44">
      <w:start w:val="1"/>
      <w:numFmt w:val="bullet"/>
      <w:lvlText w:val="●"/>
      <w:lvlJc w:val="left"/>
      <w:pPr>
        <w:ind w:left="6480" w:hanging="360"/>
      </w:pPr>
    </w:lvl>
  </w:abstractNum>
  <w:num w:numId="1" w16cid:durableId="154690111">
    <w:abstractNumId w:val="1"/>
    <w:lvlOverride w:ilvl="0">
      <w:startOverride w:val="1"/>
    </w:lvlOverride>
  </w:num>
  <w:num w:numId="2" w16cid:durableId="475806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21"/>
    <w:rsid w:val="00007472"/>
    <w:rsid w:val="000E3685"/>
    <w:rsid w:val="000E45BF"/>
    <w:rsid w:val="00144819"/>
    <w:rsid w:val="001C2FC6"/>
    <w:rsid w:val="002B2981"/>
    <w:rsid w:val="00347706"/>
    <w:rsid w:val="003569ED"/>
    <w:rsid w:val="0037291D"/>
    <w:rsid w:val="00393226"/>
    <w:rsid w:val="00393E03"/>
    <w:rsid w:val="006042CB"/>
    <w:rsid w:val="00723C21"/>
    <w:rsid w:val="00782337"/>
    <w:rsid w:val="00915E30"/>
    <w:rsid w:val="00927EC4"/>
    <w:rsid w:val="00A314DC"/>
    <w:rsid w:val="00A449C8"/>
    <w:rsid w:val="00AC4C0B"/>
    <w:rsid w:val="00AD03B6"/>
    <w:rsid w:val="00AD29DE"/>
    <w:rsid w:val="00B621C7"/>
    <w:rsid w:val="00D01191"/>
    <w:rsid w:val="00F3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91915"/>
  <w15:docId w15:val="{E6327505-F6B4-4728-B187-60E6A445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29D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9DE"/>
  </w:style>
  <w:style w:type="paragraph" w:styleId="Footer">
    <w:name w:val="footer"/>
    <w:basedOn w:val="Normal"/>
    <w:link w:val="FooterChar"/>
    <w:uiPriority w:val="99"/>
    <w:unhideWhenUsed/>
    <w:rsid w:val="00AD29D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16B01870C174F89E74F46E3E5D7F2" ma:contentTypeVersion="10" ma:contentTypeDescription="Crie um novo documento." ma:contentTypeScope="" ma:versionID="9f67601223e5eb4886a8effb6fa2d874">
  <xsd:schema xmlns:xsd="http://www.w3.org/2001/XMLSchema" xmlns:xs="http://www.w3.org/2001/XMLSchema" xmlns:p="http://schemas.microsoft.com/office/2006/metadata/properties" xmlns:ns2="9049560f-6ca6-495f-bf04-51ee19701dad" xmlns:ns3="1e254daa-224b-4ad1-ae42-1c98c688481c" targetNamespace="http://schemas.microsoft.com/office/2006/metadata/properties" ma:root="true" ma:fieldsID="56cbd191b83456317034e4787fb118c5" ns2:_="" ns3:_="">
    <xsd:import namespace="9049560f-6ca6-495f-bf04-51ee19701dad"/>
    <xsd:import namespace="1e254daa-224b-4ad1-ae42-1c98c68848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49560f-6ca6-495f-bf04-51ee19701d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a0c573a-9a78-4bb2-a64f-f37e23b71d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54daa-224b-4ad1-ae42-1c98c688481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0afb37-0115-4752-b56e-8777a6ae8f4b}" ma:internalName="TaxCatchAll" ma:showField="CatchAllData" ma:web="1e254daa-224b-4ad1-ae42-1c98c68848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49560f-6ca6-495f-bf04-51ee19701dad">
      <Terms xmlns="http://schemas.microsoft.com/office/infopath/2007/PartnerControls"/>
    </lcf76f155ced4ddcb4097134ff3c332f>
    <TaxCatchAll xmlns="1e254daa-224b-4ad1-ae42-1c98c688481c" xsi:nil="true"/>
  </documentManagement>
</p:properties>
</file>

<file path=customXml/itemProps1.xml><?xml version="1.0" encoding="utf-8"?>
<ds:datastoreItem xmlns:ds="http://schemas.openxmlformats.org/officeDocument/2006/customXml" ds:itemID="{B99580A9-9288-4475-888D-569189E12361}"/>
</file>

<file path=customXml/itemProps2.xml><?xml version="1.0" encoding="utf-8"?>
<ds:datastoreItem xmlns:ds="http://schemas.openxmlformats.org/officeDocument/2006/customXml" ds:itemID="{0C6C6003-2E50-4C70-ABD0-CBE36D93FDB7}"/>
</file>

<file path=customXml/itemProps3.xml><?xml version="1.0" encoding="utf-8"?>
<ds:datastoreItem xmlns:ds="http://schemas.openxmlformats.org/officeDocument/2006/customXml" ds:itemID="{294799FF-8E49-4C02-A732-6E37847B0B3B}"/>
</file>

<file path=docMetadata/LabelInfo.xml><?xml version="1.0" encoding="utf-8"?>
<clbl:labelList xmlns:clbl="http://schemas.microsoft.com/office/2020/mipLabelMetadata">
  <clbl:label id="{e6ea0f1c-6d49-4b59-a7a3-aacb2163720d}" enabled="1" method="Privileged" siteId="{119ca644-d1ee-49a6-b0b4-43515deb675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1277</Words>
  <Characters>6901</Characters>
  <Application>Microsoft Office Word</Application>
  <DocSecurity>0</DocSecurity>
  <Lines>57</Lines>
  <Paragraphs>16</Paragraphs>
  <ScaleCrop>false</ScaleCrop>
  <Company>CTT - Correios de Portugal SA</Company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 Filipe Rodrigues</cp:lastModifiedBy>
  <cp:revision>18</cp:revision>
  <dcterms:created xsi:type="dcterms:W3CDTF">2026-07-13T07:48:00Z</dcterms:created>
  <dcterms:modified xsi:type="dcterms:W3CDTF">2026-08-24T11:20:00Z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0x01010043B16B01870C174F89E74F46E3E5D7F2</vt:lpwstr>
  </property>
</Properties>
</file>