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Évaluation de Compatibilité et Choix d'Architecture Cloud Hybride - InduTechData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Executive Summary</w:t>
      </w:r>
    </w:p>
    <w:p>
      <w:pPr>
        <w:spacing w:after="80"/>
      </w:pPr>
      <w:r>
        <w:rPr>
          <w:rFonts w:ascii="Calibri" w:hAnsi="Calibri"/>
          <w:sz w:val="22"/>
        </w:rPr>
        <w:t xml:space="preserve">InduTechData fait face à une croissance mensuelle importante de ses données (+50 Go/mois) issues de capteurs IoT et de journaux système, mettant sous pression l'infrastructure *on-premise* existante (Cluster SQL Server 40 To, Baie SAN 10 To, Active Directory). </w:t>
      </w:r>
    </w:p>
    <w:p>
      <w:pPr>
        <w:spacing w:after="80"/>
      </w:pPr>
      <w:r>
        <w:rPr>
          <w:rFonts w:ascii="Calibri" w:hAnsi="Calibri"/>
          <w:sz w:val="22"/>
        </w:rPr>
        <w:t xml:space="preserve">Ce document présente l'évaluation technique et organisationnelle de la solution hybride proposée, combinant l'écosystème cloud </w:t>
      </w:r>
      <w:r>
        <w:rPr>
          <w:rFonts w:ascii="Calibri" w:hAnsi="Calibri"/>
          <w:b/>
          <w:sz w:val="22"/>
        </w:rPr>
        <w:t>AWS</w:t>
      </w:r>
      <w:r>
        <w:rPr>
          <w:rFonts w:ascii="Calibri" w:hAnsi="Calibri"/>
          <w:sz w:val="22"/>
        </w:rPr>
        <w:t xml:space="preserve"> et la plateforme de streaming temps réel </w:t>
      </w:r>
      <w:r>
        <w:rPr>
          <w:rFonts w:ascii="Calibri" w:hAnsi="Calibri"/>
          <w:b/>
          <w:sz w:val="22"/>
        </w:rPr>
        <w:t>Redpanda</w:t>
      </w:r>
      <w:r>
        <w:rPr>
          <w:rFonts w:ascii="Calibri" w:hAnsi="Calibri"/>
          <w:sz w:val="22"/>
        </w:rPr>
        <w:t>.</w:t>
      </w:r>
    </w:p>
    <w:p>
      <w:pPr>
        <w:spacing w:before="120" w:after="120"/>
      </w:pP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Schéma d'Architecture Cloud Hybride (Mermaid)</w:t>
      </w:r>
    </w:p>
    <w:p>
      <w:pPr>
        <w:spacing w:before="120" w:after="120"/>
      </w:pP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1. Justification des Composants Cloud Sélectionnés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1.1 Stockage de Données Non Structurées : Amazon S3 (Simple Storage Service)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**Description** : Stockage d'objets hautement disponible et résilient.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**Justification &amp; Scalabilité** : Amazon S3 offre une durabilité de 99,999999999% (11 nines) et une capacité quasi illimitée. Il permet d'absorber l'augmentation mensuelle de 50 Go sans surdimensionner le matériel local.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**Interopérabilité avec Redpanda** : Redpanda intègre nativement le *Tiered Storage* vers Amazon S3. Les données récentes restent en mémoire/NVMe local dans Redpanda, tandis que les données historiques sont automatiquement déchargées vers S3 sous forme de blocs d'objets, optimisant considérablement les coûts.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**Sécurité** : Chiffrement automatique au repos (AES-256 via AWS KMS) et politiques d'accès strictes (IAM Bucket Policies).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1.2 Entrepôt de Données (Data Warehouse) : Amazon Redshift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**Description** : Entrepôt de données analytique en colonne supportant des requêtes SQL complexes sur plusieurs pétaoctets.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 xml:space="preserve">**Synchronisation avec SQL Server On-Premise** : </w:t>
      </w:r>
    </w:p>
    <w:p>
      <w:pPr>
        <w:spacing w:after="80"/>
      </w:pPr>
      <w:r>
        <w:rPr>
          <w:rFonts w:ascii="Calibri" w:hAnsi="Calibri"/>
          <w:sz w:val="22"/>
        </w:rPr>
        <w:t xml:space="preserve">  * La synchronisation s'effectue via </w:t>
      </w:r>
      <w:r>
        <w:rPr>
          <w:rFonts w:ascii="Calibri" w:hAnsi="Calibri"/>
          <w:b/>
          <w:sz w:val="22"/>
        </w:rPr>
        <w:t>AWS Database Migration Service (DMS)</w:t>
      </w:r>
      <w:r>
        <w:rPr>
          <w:rFonts w:ascii="Calibri" w:hAnsi="Calibri"/>
          <w:sz w:val="22"/>
        </w:rPr>
        <w:t xml:space="preserve"> avec capture des changements en temps réel (</w:t>
      </w:r>
      <w:r>
        <w:rPr>
          <w:rFonts w:ascii="Calibri" w:hAnsi="Calibri"/>
          <w:b/>
          <w:sz w:val="22"/>
        </w:rPr>
        <w:t>CDC - Change Data Capture</w:t>
      </w:r>
      <w:r>
        <w:rPr>
          <w:rFonts w:ascii="Calibri" w:hAnsi="Calibri"/>
          <w:sz w:val="22"/>
        </w:rPr>
        <w:t>), ou via des connecteurs Kafka/Redpanda (</w:t>
      </w:r>
      <w:r>
        <w:rPr>
          <w:rFonts w:ascii="Calibri" w:hAnsi="Calibri"/>
          <w:b/>
          <w:sz w:val="22"/>
        </w:rPr>
        <w:t>Debezium SQL Server Connector</w:t>
      </w:r>
      <w:r>
        <w:rPr>
          <w:rFonts w:ascii="Calibri" w:hAnsi="Calibri"/>
          <w:sz w:val="22"/>
        </w:rPr>
        <w:t>).</w:t>
      </w:r>
    </w:p>
    <w:p>
      <w:pPr>
        <w:spacing w:after="80"/>
      </w:pPr>
      <w:r>
        <w:rPr>
          <w:rFonts w:ascii="Calibri" w:hAnsi="Calibri"/>
          <w:sz w:val="22"/>
        </w:rPr>
        <w:t xml:space="preserve">  * Les données de l'ERP et du CRM hébergées sur le cluster SQL Server *on-premise* sont ainsi répliquées en continu vers Redshift sans impacter les performances de production.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1.3 Traitement des Données en Temps Réel : Redpanda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**Description** : Plateforme de streaming d'événements compatible avec l'API Apache Kafka, développée en C++.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**Justification** :</w:t>
      </w:r>
    </w:p>
    <w:p>
      <w:pPr>
        <w:spacing w:after="80"/>
      </w:pPr>
      <w:r>
        <w:rPr>
          <w:rFonts w:ascii="Calibri" w:hAnsi="Calibri"/>
          <w:sz w:val="22"/>
        </w:rPr>
        <w:t xml:space="preserve">  * </w:t>
      </w:r>
      <w:r>
        <w:rPr>
          <w:rFonts w:ascii="Calibri" w:hAnsi="Calibri"/>
          <w:b/>
          <w:sz w:val="22"/>
        </w:rPr>
        <w:t>Simplicité &amp; Performance</w:t>
      </w:r>
      <w:r>
        <w:rPr>
          <w:rFonts w:ascii="Calibri" w:hAnsi="Calibri"/>
          <w:sz w:val="22"/>
        </w:rPr>
        <w:t xml:space="preserve"> : Redpanda ne nécessite pas de JVM ni de ZooKeeper/KRaft externe, réduisant l'empreinte mémoire et supprimant les pauses dues au Garbage Collector. Il offre des latences p99 extrêmement faibles pour les flux d'ingestion IoT et de logs.</w:t>
      </w:r>
    </w:p>
    <w:p>
      <w:pPr>
        <w:spacing w:after="80"/>
      </w:pPr>
      <w:r>
        <w:rPr>
          <w:rFonts w:ascii="Calibri" w:hAnsi="Calibri"/>
          <w:sz w:val="22"/>
        </w:rPr>
        <w:t xml:space="preserve">  * </w:t>
      </w:r>
      <w:r>
        <w:rPr>
          <w:rFonts w:ascii="Calibri" w:hAnsi="Calibri"/>
          <w:b/>
          <w:sz w:val="22"/>
        </w:rPr>
        <w:t>Efficacité Opérationnelle</w:t>
      </w:r>
      <w:r>
        <w:rPr>
          <w:rFonts w:ascii="Calibri" w:hAnsi="Calibri"/>
          <w:sz w:val="22"/>
        </w:rPr>
        <w:t xml:space="preserve"> : Déploiement ultra-rapide (binaire unique ou conteneur Docker), gestion intégrée du stockage multi-niveaux.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1.4 Sécurisation et Gestion des Accès : AWS Managed Microsoft AD &amp; AD Connector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**Description** : Service d'annuaire Microsoft Active Directory géré dans AWS.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 xml:space="preserve">**Gestion Unifiée des Identités** : </w:t>
      </w:r>
    </w:p>
    <w:p>
      <w:pPr>
        <w:spacing w:after="80"/>
      </w:pPr>
      <w:r>
        <w:rPr>
          <w:rFonts w:ascii="Calibri" w:hAnsi="Calibri"/>
          <w:sz w:val="22"/>
        </w:rPr>
        <w:t xml:space="preserve">  * Utilisation d'un </w:t>
      </w:r>
      <w:r>
        <w:rPr>
          <w:rFonts w:ascii="Calibri" w:hAnsi="Calibri"/>
          <w:b/>
          <w:sz w:val="22"/>
        </w:rPr>
        <w:t>AWS AD Connector</w:t>
      </w:r>
      <w:r>
        <w:rPr>
          <w:rFonts w:ascii="Calibri" w:hAnsi="Calibri"/>
          <w:sz w:val="22"/>
        </w:rPr>
        <w:t xml:space="preserve"> ou d'une relation d'approbation (Trust Relationship) entre l'Active Directory *on-premise* et AWS Managed AD via une connexion réseau sécurisée (IPsec VPN ou AWS Direct Connect).</w:t>
      </w:r>
    </w:p>
    <w:p>
      <w:pPr>
        <w:spacing w:after="80"/>
      </w:pPr>
      <w:r>
        <w:rPr>
          <w:rFonts w:ascii="Calibri" w:hAnsi="Calibri"/>
          <w:sz w:val="22"/>
        </w:rPr>
        <w:t xml:space="preserve">  * Garantit l'authentification unique (SSO) et une gestion centralisée des permissions sur l'ensemble de l'infrastructure hybride (fichiers S3, accès Redshift, consoles d'administration).</w:t>
      </w:r>
    </w:p>
    <w:p>
      <w:pPr>
        <w:spacing w:before="120" w:after="120"/>
      </w:pP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2. Analyse de Compatibilité avec le SI On-Premise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2.1 Sécurité et Conformité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**Protection en Transit** : Tous les flux inter-sites (IoT, réplication de données, accès utilisateurs) transitent via des tunnels VPN IPsec chiffrés en **AES-256** ou via **AWS Direct Connect** avec chiffrement MACsec / TLS 1.3. Les communications avec Redpanda utilisent le protocole **SSL/TLS**.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**Protection au Repos** : Chiffrement systématique via **AWS KMS** (Key Management Service) avec rotation automatique des clés.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**Gouvernance des Accès** : L'intégration AD-IAM garantit le respect du principe du moindre privilège sur l'ensemble du SI.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2.2 Interopérabilité et Automatisation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**Intégration d'Ingestion** : Les passerelles IoT transmets les métriques aux topics Redpanda via des agents légers (ex: Telegraf, Vector) ou directement en HTTP/Kafka API.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 xml:space="preserve">**Pipelines ETL/ELT Automatisés** : </w:t>
      </w:r>
    </w:p>
    <w:p>
      <w:pPr>
        <w:spacing w:after="80"/>
      </w:pPr>
      <w:r>
        <w:rPr>
          <w:rFonts w:ascii="Calibri" w:hAnsi="Calibri"/>
          <w:sz w:val="22"/>
        </w:rPr>
        <w:t xml:space="preserve">  * Redpanda transmet les flux en continu vers PySpark pour le nettoyage et l'enrichissement.</w:t>
      </w:r>
    </w:p>
    <w:p>
      <w:pPr>
        <w:spacing w:after="80"/>
      </w:pPr>
      <w:r>
        <w:rPr>
          <w:rFonts w:ascii="Calibri" w:hAnsi="Calibri"/>
          <w:sz w:val="22"/>
        </w:rPr>
        <w:t xml:space="preserve">  * PySpark déverse les données structurées dans Amazon Redshift pour l'analyse décisionnelle et dans Amazon S3 pour l'archivage long terme.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2.3 Scalabilité et Gestion des Coûts</w:t>
      </w:r>
    </w:p>
    <w:p>
      <w:pPr>
        <w:spacing w:after="80"/>
      </w:pPr>
      <w:r>
        <w:rPr>
          <w:rFonts w:ascii="Calibri" w:hAnsi="Calibri"/>
          <w:sz w:val="22"/>
        </w:rPr>
        <w:t>#### Stratégie de Scalabilité :</w:t>
      </w:r>
    </w:p>
    <w:p>
      <w:pPr>
        <w:spacing w:after="80"/>
      </w:pPr>
      <w:r>
        <w:rPr>
          <w:rFonts w:ascii="Calibri" w:hAnsi="Calibri"/>
          <w:sz w:val="22"/>
        </w:rPr>
        <w:t>L'architecture hybride sépare le stockage du calcul. Redpanda et PySpark peuvent être dimensionnés dynamiquement (auto-scaling) en fonction des pics d'activité IoT.</w:t>
      </w:r>
    </w:p>
    <w:p>
      <w:pPr>
        <w:spacing w:after="80"/>
      </w:pPr>
      <w:r>
        <w:rPr>
          <w:rFonts w:ascii="Calibri" w:hAnsi="Calibri"/>
          <w:sz w:val="22"/>
        </w:rPr>
        <w:t>#### Recommandations pour la Surveillance des Coûts :</w:t>
      </w:r>
    </w:p>
    <w:p>
      <w:pPr>
        <w:spacing w:after="80"/>
      </w:pPr>
      <w:r>
        <w:rPr>
          <w:rFonts w:ascii="Calibri" w:hAnsi="Calibri"/>
          <w:sz w:val="22"/>
        </w:rPr>
        <w:t xml:space="preserve">1. </w:t>
      </w:r>
      <w:r>
        <w:rPr>
          <w:rFonts w:ascii="Calibri" w:hAnsi="Calibri"/>
          <w:b/>
          <w:sz w:val="22"/>
        </w:rPr>
        <w:t>AWS Budgets &amp; Cost Explorer</w:t>
      </w:r>
      <w:r>
        <w:rPr>
          <w:rFonts w:ascii="Calibri" w:hAnsi="Calibri"/>
          <w:sz w:val="22"/>
        </w:rPr>
        <w:t xml:space="preserve"> : Configuration d'alertes prédictives en cas de dépassement de budget mensuel.</w:t>
      </w:r>
    </w:p>
    <w:p>
      <w:pPr>
        <w:spacing w:after="80"/>
      </w:pPr>
      <w:r>
        <w:rPr>
          <w:rFonts w:ascii="Calibri" w:hAnsi="Calibri"/>
          <w:sz w:val="22"/>
        </w:rPr>
        <w:t xml:space="preserve">2. </w:t>
      </w:r>
      <w:r>
        <w:rPr>
          <w:rFonts w:ascii="Calibri" w:hAnsi="Calibri"/>
          <w:b/>
          <w:sz w:val="22"/>
        </w:rPr>
        <w:t>AWS CloudWatch</w:t>
      </w:r>
      <w:r>
        <w:rPr>
          <w:rFonts w:ascii="Calibri" w:hAnsi="Calibri"/>
          <w:sz w:val="22"/>
        </w:rPr>
        <w:t xml:space="preserve"> : Supervision en temps réel de l'utilisation des ressources et création de métriques personnalisées.</w:t>
      </w:r>
    </w:p>
    <w:p>
      <w:pPr>
        <w:spacing w:after="80"/>
      </w:pPr>
      <w:r>
        <w:rPr>
          <w:rFonts w:ascii="Calibri" w:hAnsi="Calibri"/>
          <w:sz w:val="22"/>
        </w:rPr>
        <w:t xml:space="preserve">3. </w:t>
      </w:r>
      <w:r>
        <w:rPr>
          <w:rFonts w:ascii="Calibri" w:hAnsi="Calibri"/>
          <w:b/>
          <w:sz w:val="22"/>
        </w:rPr>
        <w:t>Politiques de Rétention S3 Lifecycle</w:t>
      </w:r>
      <w:r>
        <w:rPr>
          <w:rFonts w:ascii="Calibri" w:hAnsi="Calibri"/>
          <w:sz w:val="22"/>
        </w:rPr>
        <w:t xml:space="preserve"> : Transition automatique des objets S3 Standard vers S3 Glacier Instant Retrieval après 90 jours pour réduire la facture de stockage.</w:t>
      </w:r>
    </w:p>
    <w:p>
      <w:pPr>
        <w:spacing w:before="120" w:after="120"/>
      </w:pP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3. Estimation des Coûts (Estimatif Initial &amp; Récurrent)</w:t>
      </w:r>
    </w:p>
    <w:p>
      <w:pPr>
        <w:spacing w:after="80"/>
      </w:pPr>
      <w:r>
        <w:rPr>
          <w:rFonts w:ascii="Calibri" w:hAnsi="Calibri"/>
          <w:sz w:val="22"/>
        </w:rPr>
        <w:t>*Remarque : Les estimations ci-dessous sont basées sur le tarificateur AWS Pricing Calculator pour la région Europe (Paris).*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Composant Cloud</w:t>
            </w:r>
          </w:p>
        </w:tc>
        <w:tc>
          <w:tcPr>
            <w:tcW w:type="dxa" w:w="312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Usage Estimé</w:t>
            </w:r>
          </w:p>
        </w:tc>
        <w:tc>
          <w:tcPr>
            <w:tcW w:type="dxa" w:w="312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Coût Mensuel Estimé (EUR)</w:t>
            </w:r>
          </w:p>
        </w:tc>
      </w:tr>
      <w:tr>
        <w:tc>
          <w:tcPr>
            <w:tcW w:type="dxa" w:w="3120"/>
            <w:shd w:fill="F2F4F7"/>
          </w:tcPr>
          <w:p>
            <w:r>
              <w:t>AWS Direct Connect / Site-to-Site VPN</w:t>
            </w:r>
          </w:p>
        </w:tc>
        <w:tc>
          <w:tcPr>
            <w:tcW w:type="dxa" w:w="3120"/>
            <w:shd w:fill="F2F4F7"/>
          </w:tcPr>
          <w:p>
            <w:r>
              <w:t>Tunnels IPsec redondants + transfert</w:t>
            </w:r>
          </w:p>
        </w:tc>
        <w:tc>
          <w:tcPr>
            <w:tcW w:type="dxa" w:w="3120"/>
            <w:shd w:fill="F2F4F7"/>
          </w:tcPr>
          <w:p>
            <w:r>
              <w:t>~100 €</w:t>
            </w:r>
          </w:p>
        </w:tc>
      </w:tr>
      <w:tr>
        <w:tc>
          <w:tcPr>
            <w:tcW w:type="dxa" w:w="3120"/>
          </w:tcPr>
          <w:p>
            <w:r>
              <w:t>Amazon S3 (Standard + Lifecycle)</w:t>
            </w:r>
          </w:p>
        </w:tc>
        <w:tc>
          <w:tcPr>
            <w:tcW w:type="dxa" w:w="3120"/>
          </w:tcPr>
          <w:p>
            <w:r>
              <w:t>~10 To initiaux + 50 Go/mois additionnels</w:t>
            </w:r>
          </w:p>
        </w:tc>
        <w:tc>
          <w:tcPr>
            <w:tcW w:type="dxa" w:w="3120"/>
          </w:tcPr>
          <w:p>
            <w:r>
              <w:t>~240 €</w:t>
            </w:r>
          </w:p>
        </w:tc>
      </w:tr>
      <w:tr>
        <w:tc>
          <w:tcPr>
            <w:tcW w:type="dxa" w:w="3120"/>
            <w:shd w:fill="F2F4F7"/>
          </w:tcPr>
          <w:p>
            <w:r>
              <w:t>Redpanda Cluster (Instances EC2 i3en.xlarge)</w:t>
            </w:r>
          </w:p>
        </w:tc>
        <w:tc>
          <w:tcPr>
            <w:tcW w:type="dxa" w:w="3120"/>
            <w:shd w:fill="F2F4F7"/>
          </w:tcPr>
          <w:p>
            <w:r>
              <w:t>3 nœuds haute disponibilité avec NVMe local</w:t>
            </w:r>
          </w:p>
        </w:tc>
        <w:tc>
          <w:tcPr>
            <w:tcW w:type="dxa" w:w="3120"/>
            <w:shd w:fill="F2F4F7"/>
          </w:tcPr>
          <w:p>
            <w:r>
              <w:t>~850 €</w:t>
            </w:r>
          </w:p>
        </w:tc>
      </w:tr>
      <w:tr>
        <w:tc>
          <w:tcPr>
            <w:tcW w:type="dxa" w:w="3120"/>
          </w:tcPr>
          <w:p>
            <w:r>
              <w:t>Amazon Redshift (Serverless / ra3.xlarge)</w:t>
            </w:r>
          </w:p>
        </w:tc>
        <w:tc>
          <w:tcPr>
            <w:tcW w:type="dxa" w:w="3120"/>
          </w:tcPr>
          <w:p>
            <w:r>
              <w:t>Ingestion CDC et requêtes analytiques journalières</w:t>
            </w:r>
          </w:p>
        </w:tc>
        <w:tc>
          <w:tcPr>
            <w:tcW w:type="dxa" w:w="3120"/>
          </w:tcPr>
          <w:p>
            <w:r>
              <w:t>~450 €</w:t>
            </w:r>
          </w:p>
        </w:tc>
      </w:tr>
      <w:tr>
        <w:tc>
          <w:tcPr>
            <w:tcW w:type="dxa" w:w="3120"/>
            <w:shd w:fill="F2F4F7"/>
          </w:tcPr>
          <w:p>
            <w:r>
              <w:t>AWS Managed AD / AD Connector</w:t>
            </w:r>
          </w:p>
        </w:tc>
        <w:tc>
          <w:tcPr>
            <w:tcW w:type="dxa" w:w="3120"/>
            <w:shd w:fill="F2F4F7"/>
          </w:tcPr>
          <w:p>
            <w:r>
              <w:t>Annuaire géré hybride</w:t>
            </w:r>
          </w:p>
        </w:tc>
        <w:tc>
          <w:tcPr>
            <w:tcW w:type="dxa" w:w="3120"/>
            <w:shd w:fill="F2F4F7"/>
          </w:tcPr>
          <w:p>
            <w:r>
              <w:t>~150 €</w:t>
            </w:r>
          </w:p>
        </w:tc>
      </w:tr>
      <w:tr>
        <w:tc>
          <w:tcPr>
            <w:tcW w:type="dxa" w:w="3120"/>
          </w:tcPr>
          <w:p>
            <w:r>
              <w:t>AWS DMS (Database Migration Service)</w:t>
            </w:r>
          </w:p>
        </w:tc>
        <w:tc>
          <w:tcPr>
            <w:tcW w:type="dxa" w:w="3120"/>
          </w:tcPr>
          <w:p>
            <w:r>
              <w:t>Synchronisation CDC continue SQL Server</w:t>
            </w:r>
          </w:p>
        </w:tc>
        <w:tc>
          <w:tcPr>
            <w:tcW w:type="dxa" w:w="3120"/>
          </w:tcPr>
          <w:p>
            <w:r>
              <w:t>~120 €</w:t>
            </w:r>
          </w:p>
        </w:tc>
      </w:tr>
      <w:tr>
        <w:tc>
          <w:tcPr>
            <w:tcW w:type="dxa" w:w="3120"/>
            <w:shd w:fill="F2F4F7"/>
          </w:tcPr>
          <w:p>
            <w:r>
              <w:t>Total Récurrent Mensuel</w:t>
            </w:r>
          </w:p>
        </w:tc>
        <w:tc>
          <w:tcPr>
            <w:tcW w:type="dxa" w:w="3120"/>
            <w:shd w:fill="F2F4F7"/>
          </w:tcPr>
          <w:p>
            <w:r>
              <w:t>~1 910 € / mois</w:t>
            </w:r>
          </w:p>
        </w:tc>
        <w:tc>
          <w:tcPr>
            <w:tcW w:type="dxa" w:w="3120"/>
          </w:tcPr>
          <w:p/>
        </w:tc>
      </w:tr>
    </w:tbl>
    <w:p/>
    <w:p>
      <w:pPr>
        <w:spacing w:after="80"/>
      </w:pPr>
      <w:r>
        <w:rPr>
          <w:rFonts w:ascii="Calibri" w:hAnsi="Calibri"/>
          <w:sz w:val="22"/>
        </w:rPr>
        <w:t>*Coûts d'intégration initiaux (One-off)* : ~3 500 € (frais de configuration VPN, migration initiale 10 To, audit de sécurité).</w:t>
      </w:r>
    </w:p>
    <w:p>
      <w:pPr>
        <w:spacing w:before="120" w:after="120"/>
      </w:pPr>
    </w:p>
    <w:p>
      <w:pPr>
        <w:spacing w:before="200" w:after="80"/>
      </w:pPr>
      <w:r>
        <w:rPr>
          <w:rFonts w:ascii="Calibri" w:hAnsi="Calibri"/>
          <w:b/>
          <w:color w:val="2E75B6"/>
          <w:sz w:val="28"/>
        </w:rPr>
        <w:t>4. Bilan : Avantages, Limitations et Points de Vigilance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Avantages Majeurs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**Performance et Latence** : Redpanda garantit un traitement fluide des flux IoT volumineux sans surcharge sur le SI local.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**Souplesse du Stockage** : Élimination du besoin d'investir dans une nouvelle baie SAN *on-premise*.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**Continuité d'Utilisation** : Conservation des serveurs ERP/CRM et Active Directory locaux sans perturbation pour les équipes métiers.</w:t>
      </w:r>
    </w:p>
    <w:p>
      <w:pPr>
        <w:spacing w:before="160" w:after="40"/>
      </w:pPr>
      <w:r>
        <w:rPr>
          <w:rFonts w:ascii="Calibri" w:hAnsi="Calibri"/>
          <w:b/>
          <w:color w:val="595959"/>
          <w:sz w:val="24"/>
        </w:rPr>
        <w:t>Limitations &amp; Points de Vigilance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**Bande Passante Réseau** : Le transfert continu de 50 Go/mois nécessite une ligne réseau stable avec de la bande passante dédiée.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**Complexité Observabilité** : Nécessite une supervision unifiée (logs combinés on-premise + cloud).</w:t>
      </w:r>
    </w:p>
    <w:p>
      <w:pPr>
        <w:spacing w:before="120" w:after="120"/>
      </w:pPr>
    </w:p>
    <w:p>
      <w:pPr>
        <w:spacing w:after="80"/>
      </w:pPr>
      <w:r>
        <w:rPr>
          <w:rFonts w:ascii="Calibri" w:hAnsi="Calibri"/>
          <w:sz w:val="22"/>
        </w:rPr>
        <w:t>*Document rédigé dans le cadre du projet d'infrastructures cloud pour InduTechData.*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828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