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Informe trimestral de ventas</w:t>
      </w:r>
    </w:p>
    <w:p>
      <w:r>
        <w:t>El total del trimestre fue de 45.678 euros, un 12 por ciento superior al anterior.</w:t>
      </w:r>
    </w:p>
    <w:p>
      <w:r>
        <w:t>La delegación de Valencia lidera el crecimiento.</w:t>
      </w:r>
    </w:p>
  </w:body>
</w:document>
</file>