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uloSeccion"/>
      </w:pPr>
      <w:r>
        <w:rPr>
          <w:b/>
        </w:rPr>
        <w:t>5. MODELO DE NEGOCIO: ARQUITECTURA MULTICAPA Y FLUJOS DE INGRESOS</w:t>
      </w:r>
    </w:p>
    <w:p>
      <w:pPr>
        <w:pStyle w:val="Parrafo"/>
      </w:pPr>
      <w:r>
        <w:br/>
        <w:t xml:space="preserve">El modelo de negocio de Treqe se estructura en tres capas complementarias que generan valor </w:t>
        <w:br/>
        <w:t xml:space="preserve">de forma escalable y sostenible. No somos una simple plataforma de intercambio, sino un </w:t>
        <w:br/>
        <w:t xml:space="preserve">ecosistema completo que resuelve la paradoja de liquidez mientras genera múltiples flujos </w:t>
        <w:br/>
        <w:t>de ingresos recurrentes.</w:t>
        <w:br/>
      </w:r>
    </w:p>
    <w:p>
      <w:pPr>
        <w:pStyle w:val="Subtitulo"/>
      </w:pPr>
      <w:r>
        <w:t>5.1 Business Model Canvas: Los 9 Bloques Estratégicos</w:t>
      </w:r>
    </w:p>
    <w:p>
      <w:pPr>
        <w:pStyle w:val="Parrafo"/>
      </w:pPr>
      <w:r>
        <w:br/>
        <w:t xml:space="preserve">El Business Model Canvas de Treqe se estructura en 9 bloques interconectados que definen </w:t>
        <w:br/>
        <w:t>nuestra propuesta de valor única:</w:t>
        <w:br/>
        <w:br/>
        <w:t>1. **Segmentos de Clientes:**</w:t>
        <w:br/>
        <w:t xml:space="preserve">   - Usuarios individuales (B2C): 28M de españoles activos en segunda mano</w:t>
        <w:br/>
        <w:t xml:space="preserve">   - Pequeños comercios (B2B): Tiendas físicas que quieren digitalizar inventario</w:t>
        <w:br/>
        <w:t xml:space="preserve">   - Empresas (B2B2C): Marcas que buscan programas de fidelización circular</w:t>
        <w:br/>
        <w:br/>
        <w:t>2. **Propuesta de Valor:**</w:t>
        <w:br/>
        <w:t xml:space="preserve">   - Para usuarios: Transformar objetos que no usan en cosas que sí quieren</w:t>
        <w:br/>
        <w:t xml:space="preserve">   - Para comercios: Incrementar rotación de inventario sin desembolso</w:t>
        <w:br/>
        <w:t xml:space="preserve">   - Para empresas: Crear programas de sostenibilidad y engagement</w:t>
        <w:br/>
        <w:br/>
        <w:t>3. **Canales:**</w:t>
        <w:br/>
        <w:t xml:space="preserve">   - App móvil nativa (iOS/Android) - 94% de transacciones desde móvil</w:t>
        <w:br/>
        <w:t xml:space="preserve">   - Web responsive para gestión avanzada</w:t>
        <w:br/>
        <w:t xml:space="preserve">   - API para integraciones empresariales</w:t>
        <w:br/>
        <w:t xml:space="preserve">   - Red de embajadores y referidos</w:t>
        <w:br/>
        <w:br/>
        <w:t>4. **Relación con Clientes:**</w:t>
        <w:br/>
        <w:t xml:space="preserve">   - Sistema de reputación gamificado</w:t>
        <w:br/>
        <w:t xml:space="preserve">   - Soporte humano + IA para conflictos</w:t>
        <w:br/>
        <w:t xml:space="preserve">   - Comunidad activa con eventos y desafíos</w:t>
        <w:br/>
        <w:t xml:space="preserve">   - Programa de fidelización por niveles</w:t>
        <w:br/>
        <w:br/>
        <w:t>5. **Flujos de Ingresos (detallado en 5.2):**</w:t>
        <w:br/>
        <w:t xml:space="preserve">   - Comisión por transacción exitosa (3%)</w:t>
        <w:br/>
        <w:t xml:space="preserve">   - Suscripción premium (9,99€/mes)</w:t>
        <w:br/>
        <w:t xml:space="preserve">   - Servicios empresariales (SaaS)</w:t>
        <w:br/>
        <w:t xml:space="preserve">   - Publicidad contextual no intrusiva</w:t>
        <w:br/>
        <w:t xml:space="preserve">   - Data analytics para marcas</w:t>
        <w:br/>
        <w:br/>
        <w:t>6. **Recursos Clave:**</w:t>
        <w:br/>
        <w:t xml:space="preserve">   - Algoritmo patentado de matching circular</w:t>
        <w:br/>
        <w:t xml:space="preserve">   - Plataforma tecnológica escalable</w:t>
        <w:br/>
        <w:t xml:space="preserve">   - Equipo multidisciplinar (tech, ops, legal)</w:t>
        <w:br/>
        <w:t xml:space="preserve">   - Comunidad de early adopters</w:t>
        <w:br/>
        <w:t xml:space="preserve">   - Fondo de garantía inicial</w:t>
        <w:br/>
        <w:br/>
        <w:t>7. **Actividades Clave:**</w:t>
        <w:br/>
        <w:t xml:space="preserve">   - Desarrollo y mejora continua del algoritmo</w:t>
        <w:br/>
        <w:t xml:space="preserve">   - Verificación de usuarios y artículos</w:t>
        <w:br/>
        <w:t xml:space="preserve">   - Gestión del fondo de garantía</w:t>
        <w:br/>
        <w:t xml:space="preserve">   - Marketing de crecimiento orgánico</w:t>
        <w:br/>
        <w:t xml:space="preserve">   - Soporte y resolución de conflictos</w:t>
        <w:br/>
        <w:br/>
        <w:t>8. **Socios Clave:**</w:t>
        <w:br/>
        <w:t xml:space="preserve">   - Stripe Connect para pagos</w:t>
        <w:br/>
        <w:t xml:space="preserve">   - AWS para infraestructura cloud</w:t>
        <w:br/>
        <w:t xml:space="preserve">   - Asesoría legal especializada</w:t>
        <w:br/>
        <w:t xml:space="preserve">   - Agencias de marketing performance</w:t>
        <w:br/>
        <w:t xml:space="preserve">   - Alianzas con marketplaces tradicionales</w:t>
        <w:br/>
        <w:br/>
        <w:t>9. **Estructura de Costes:**</w:t>
        <w:br/>
        <w:t xml:space="preserve">   - Desarrollo tecnológico (40%)</w:t>
        <w:br/>
        <w:t xml:space="preserve">   - Marketing y adquisición (30%)</w:t>
        <w:br/>
        <w:t xml:space="preserve">   - Operaciones y soporte (20%)</w:t>
        <w:br/>
        <w:t xml:space="preserve">   - Gastos generales (10%)</w:t>
        <w:br/>
      </w:r>
    </w:p>
    <w:p>
      <w:pPr>
        <w:pStyle w:val="Subtitulo"/>
      </w:pPr>
      <w:r>
        <w:t>5.2 Flujos de Ingresos: Tres Capas de Monetización</w:t>
      </w:r>
    </w:p>
    <w:p>
      <w:pPr>
        <w:pStyle w:val="Parrafo"/>
      </w:pPr>
      <w:r>
        <w:br/>
        <w:t xml:space="preserve">Nuestra monetización funciona como una cebolla: capas concéntricas que se suman sin </w:t>
        <w:br/>
        <w:t>cannibalizarse. Cada capa sirve a un segmento diferente con necesidades específicas.</w:t>
        <w:br/>
        <w:br/>
        <w:t>**Capa 1: Transacciones Básicas (Comisión 3%)**</w:t>
        <w:br/>
        <w:t>- **Qué es:** Comisión sobre el valor declarado de cada intercambio exitoso</w:t>
        <w:br/>
        <w:t>- **Para quién:** Todos los usuarios (gratis para listar, pago al cerrar intercambio)</w:t>
        <w:br/>
        <w:t>- **Ejemplo:** Ana intercambia su iPhone 12 (valor 400€) por una bicicleta de Carlos (450€) + 50€ en compensación. Treqe cobra 3% de 450€ = 13,50€</w:t>
        <w:br/>
        <w:t>- **Volumen estimado:** 70% de ingresos año 1, 50% año 3</w:t>
        <w:br/>
        <w:br/>
        <w:t>**Capa 2: Suscripción Premium (9,99€/mes)**</w:t>
        <w:br/>
        <w:t>- **Qué es:** Acceso a funcionalidades avanzadas y prioridad en matching</w:t>
        <w:br/>
        <w:t>- **Para quién:** Usuarios frecuentes (5+ intercambios/año) y power users</w:t>
        <w:br/>
        <w:t>- **Beneficios incluidos:**</w:t>
        <w:br/>
        <w:t xml:space="preserve">  - Matching prioritario (30% más rápido)</w:t>
        <w:br/>
        <w:t xml:space="preserve">  - Límite de valor por intercambio aumentado (500€ → 2.000€)</w:t>
        <w:br/>
        <w:t xml:space="preserve">  - Verificación express de artículos</w:t>
        <w:br/>
        <w:t xml:space="preserve">  - Seguro ampliado (500€ → 1.500€ cobertura)</w:t>
        <w:br/>
        <w:t xml:space="preserve">  - Estadísticas avanzadas y insights</w:t>
        <w:br/>
        <w:t>- **Tasa conversión estimada:** 8% de usuarios activos</w:t>
        <w:br/>
        <w:br/>
        <w:t>**Capa 3: Servicios Empresariales (SaaS)**</w:t>
        <w:br/>
        <w:t>- **Qué es:** Plataforma white-label para empresas</w:t>
        <w:br/>
        <w:t>- **Para quién:** Marcas de retail, programas de fidelización, economía circular</w:t>
        <w:br/>
        <w:t>- **Casos de uso:**</w:t>
        <w:br/>
        <w:t xml:space="preserve">  - IKEA: Programa "Circular Living" para muebles usados</w:t>
        <w:br/>
        <w:t xml:space="preserve">  - Decathlon: Intercambio de equipo deportivo entre clientes</w:t>
        <w:br/>
        <w:t xml:space="preserve">  - El Corte Inglés: Programa de recompra y reventa</w:t>
        <w:br/>
        <w:t>- **Precio:** Desde 499€/mes + comisión reducida (1.5%)</w:t>
        <w:br/>
        <w:t>- **Ingresos estimados:** 20% año 2, 40% año 5</w:t>
        <w:br/>
        <w:br/>
        <w:t>**Capa 4: Data &amp; Analytics**</w:t>
        <w:br/>
        <w:t>- **Qué es:** Insights anonimizados sobre tendencias de mercado</w:t>
        <w:br/>
        <w:t>- **Para quién:** Marcas, retailers, investigadores de mercado</w:t>
        <w:br/>
        <w:t>- **Ejemplos:**</w:t>
        <w:br/>
        <w:t xml:space="preserve">  - Reporte "Tendencias Consumo Circular Q1 2026"</w:t>
        <w:br/>
        <w:t xml:space="preserve">  - Dashboard personalizado para marcas</w:t>
        <w:br/>
        <w:t xml:space="preserve">  - Estudios de valoración de productos usados</w:t>
        <w:br/>
        <w:t>- **Modelo:** Suscripción anual o por proyecto</w:t>
        <w:br/>
      </w:r>
    </w:p>
    <w:p>
      <w:pPr>
        <w:pStyle w:val="Subtitulo"/>
      </w:pPr>
      <w:r>
        <w:t>5.3 Estructura Legal: Sociedad Limitada y Protección de Activos</w:t>
      </w:r>
    </w:p>
    <w:p>
      <w:pPr>
        <w:pStyle w:val="Parrafo"/>
      </w:pPr>
      <w:r>
        <w:br/>
        <w:t>**Forma Jurídica: Sociedad Limitada (SL)**</w:t>
        <w:br/>
        <w:t>- Capital social inicial: 3.000€ (mínimo legal)</w:t>
        <w:br/>
        <w:t>- Ventajas fiscales: Tipo impositivo 25% sobre beneficios</w:t>
        <w:br/>
        <w:t>- Responsabilidad limitada: Patrimonio personal protegido</w:t>
        <w:br/>
        <w:t>- Flexibilidad operativa: Ideal para startups tecnológicas</w:t>
        <w:br/>
        <w:br/>
        <w:t>**Protección de Propiedad Intelectual:**</w:t>
        <w:br/>
        <w:t>1. **Algoritmo patentable:** Proceso de matching circular (solicitud patente europea)</w:t>
        <w:br/>
        <w:t>2. **Marca registrada:** "Treqe" y logo en clases 9, 35, 36, 42</w:t>
        <w:br/>
        <w:t>3. **Derechos de autor:** Código fuente, diseño UI/UX, documentación</w:t>
        <w:br/>
        <w:t>4. **Secretos comerciales:** Métricas de scoring, fórmulas de compensación</w:t>
        <w:br/>
        <w:br/>
        <w:t>**Estructura Fiscal Optimizada:**</w:t>
        <w:br/>
        <w:t>- **IVA:** Operaciones sujetas al 21% (servicios digitales)</w:t>
        <w:br/>
        <w:t>- **Retención profesionales:** 15% a desarrolladores freelance</w:t>
        <w:br/>
        <w:t>- **Deducciones I+D+i:** 25% del gasto en desarrollo del algoritmo</w:t>
        <w:br/>
        <w:t>- **Bonificaciones:** Posibles ayudas economía circular y digitalización</w:t>
        <w:br/>
        <w:br/>
        <w:t>**Contratos Clave:**</w:t>
        <w:br/>
        <w:t>1. **Términos y Condiciones:** Adaptados a economía colaborativa (Ley 7/2022)</w:t>
        <w:br/>
        <w:t>2. **Política de Privacidad:** GDPR compliant + consentimiento explícito</w:t>
        <w:br/>
        <w:t>3. **Acuerdo de Usuario:** Derechos y obligaciones claras</w:t>
        <w:br/>
        <w:t>4. **Contratos Proveedores:** AWS, Stripe, asesoría legal</w:t>
        <w:br/>
        <w:t>5. **Acuerdos de Confidencialidad:** Equipo y colaboradores</w:t>
        <w:br/>
        <w:br/>
        <w:t>**Fondo de Garantía: Estructura Legal**</w:t>
        <w:br/>
        <w:t>- Entidad separada: "Fondo de Garantía Treqe SL"</w:t>
        <w:br/>
        <w:t>- Capital inicial: 50.000€ (20% fondos propios, 80% financiación)</w:t>
        <w:br/>
        <w:t>- Auditoría trimestral: Transparencia total</w:t>
        <w:br/>
        <w:t>- Seguro complementario: 1M€ de cobertura adicional</w:t>
        <w:br/>
        <w:t>- Regulación: Adaptado a Ley 16/2011 de contratos de crédito</w:t>
        <w:br/>
      </w:r>
    </w:p>
    <w:p>
      <w:pPr>
        <w:pStyle w:val="Subtitulo"/>
      </w:pPr>
      <w:r>
        <w:t>5.4 Proyecciones Financieras: Crecimiento y Rentabilidad</w:t>
      </w:r>
    </w:p>
    <w:p>
      <w:pPr>
        <w:pStyle w:val="Parrafo"/>
      </w:pPr>
      <w:r>
        <w:br/>
        <w:t>**Año 1 (Lanzamiento):**</w:t>
        <w:br/>
        <w:t>- Usuarios activos: 10.000</w:t>
        <w:br/>
        <w:t>- Transacciones: 2.500</w:t>
        <w:br/>
        <w:t>- Volumen intercambiado: 750.000€</w:t>
        <w:br/>
        <w:t>- Ingresos: 52.500€ (70% comisiones, 30% suscripciones)</w:t>
        <w:br/>
        <w:t>- EBITDA: -47.500€ (inversión en desarrollo y marketing)</w:t>
        <w:br/>
        <w:br/>
        <w:t>**Año 2 (Crecimiento):**</w:t>
        <w:br/>
        <w:t>- Usuarios activos: 50.000</w:t>
        <w:br/>
        <w:t>- Transacciones: 15.000</w:t>
        <w:br/>
        <w:t>- Volumen intercambiado: 4.5M€</w:t>
        <w:br/>
        <w:t>- Ingresos: 382.500€ (60% comisiones, 25% suscripciones, 15% empresas)</w:t>
        <w:br/>
        <w:t>- EBITDA: +45.000€ (primer trimestre rentable Q4)</w:t>
        <w:br/>
        <w:br/>
        <w:t>**Año 3 (Escalabilidad):**</w:t>
        <w:br/>
        <w:t>- Usuarios activos: 200.000</w:t>
        <w:br/>
        <w:t>- Transacciones: 60.000</w:t>
        <w:br/>
        <w:t>- Volumen intercambiado: 18M€</w:t>
        <w:br/>
        <w:t>- Ingresos: 1.530.000€ (50% comisiones, 20% suscripciones, 30% empresas)</w:t>
        <w:br/>
        <w:t>- EBITDA: +459.000€ (margen 30%)</w:t>
        <w:br/>
        <w:br/>
        <w:t>**Punto de Equilibrio:** Mes 18 (15.000 usuarios activos)</w:t>
        <w:br/>
        <w:t>**ROI Inversores:** 5.2x en 5 años (TIR 38%)</w:t>
        <w:br/>
        <w:t>**Valoración Serie A (año 3):** 12-15M€ (8-10x ingresos)</w:t>
        <w:br/>
      </w:r>
    </w:p>
    <w:p>
      <w:pPr>
        <w:pStyle w:val="Subtitulo"/>
      </w:pPr>
      <w:r>
        <w:t>5.5 Estrategia de Precios: Penetración y Upselling</w:t>
      </w:r>
    </w:p>
    <w:p>
      <w:pPr>
        <w:pStyle w:val="Parrafo"/>
      </w:pPr>
      <w:r>
        <w:br/>
        <w:t>**Filosofía de Precios:** "Freemium que escala con el valor"</w:t>
        <w:br/>
        <w:t>- **Gratis para empezar:** Cero barrera de entrada</w:t>
        <w:br/>
        <w:t>- **Pago por éxito:** Solo cobramos cuando generamos valor</w:t>
        <w:br/>
        <w:t>- **Escalado natural:** A más valor intercambiado, más features necesitas</w:t>
        <w:br/>
        <w:br/>
        <w:t>**Tácticas Específicas:**</w:t>
        <w:br/>
        <w:t>1. **Precio psicológico:** 9,99€ en lugar de 10€</w:t>
        <w:br/>
        <w:t>2. **Descuentos anuales:** 99€/año (2 meses gratis)</w:t>
        <w:br/>
        <w:t>3. **Programa referidos:** 1 mes gratis por amigo que se suscribe</w:t>
        <w:br/>
        <w:t>4. **Precios geolocalizados:** Ajuste por poder adquisitivo regional</w:t>
        <w:br/>
        <w:t>5. **Pack familia:** 14,99€/mes para 3 usuarios</w:t>
        <w:br/>
        <w:br/>
        <w:t>**Test A/B Continuo:**</w:t>
        <w:br/>
        <w:t>- Variables testadas: % comisión (2.5%, 3%, 3.5%)</w:t>
        <w:br/>
        <w:t>- Precio suscripción (7,99€, 9,99€, 12,99€)</w:t>
        <w:br/>
        <w:t>- Límites de valor por nivel</w:t>
        <w:br/>
        <w:t>- Beneficios premium</w:t>
        <w:br/>
        <w:br/>
        <w:t>**Competitive Pricing Analysis:**</w:t>
        <w:br/>
        <w:t>- Wallapop: 5-10% comisión (solo venta, no intercambio)</w:t>
        <w:br/>
        <w:t>- Vinted: Comisión variable + gastos envío</w:t>
        <w:br/>
        <w:t>- Milanuncios: Anuncios destacados (no comisión)</w:t>
        <w:br/>
        <w:t>- **Treqe:** 3% todo incluido (matching, garantía, soporte)</w:t>
        <w:br/>
      </w:r>
    </w:p>
    <w:p>
      <w:pPr>
        <w:pStyle w:val="Subtitulo"/>
      </w:pPr>
      <w:r>
        <w:t>5.6 Conclusión: Modelo Sostenible y Escalable</w:t>
      </w:r>
    </w:p>
    <w:p>
      <w:pPr>
        <w:pStyle w:val="Parrafo"/>
      </w:pPr>
      <w:r>
        <w:br/>
        <w:t xml:space="preserve">El modelo de negocio de Treqe no es una apuesta, es una arquitectura cuidadosamente </w:t>
        <w:br/>
        <w:t>diseñada. Cada capa se sustenta en la anterior, creando un ecosistema donde:</w:t>
        <w:br/>
        <w:br/>
        <w:t>1. **Los usuarios ganan** transformando activos ociosos en valor real</w:t>
        <w:br/>
        <w:t>2. **Los comercios ganan** incrementando rotación sin riesgo</w:t>
        <w:br/>
        <w:t>3. **Las empresas ganan** accediendo a economía circular y datos de mercado</w:t>
        <w:br/>
        <w:t>4. **Los inversores ganan** participando en un mercado de 8.200M€ en transformación</w:t>
        <w:br/>
        <w:t>5. **La sociedad gana** reduciendo desperdicio y promoviendo consumo responsable</w:t>
        <w:br/>
        <w:br/>
        <w:t xml:space="preserve">La magia no está en una sola parte, sino en cómo todas encajan: tecnología que resuelve </w:t>
        <w:br/>
        <w:t xml:space="preserve">un problema real, monetización que escala con el éxito, y un impacto que trasciende </w:t>
        <w:br/>
        <w:t>lo económico.</w:t>
        <w:br/>
        <w:br/>
        <w:t xml:space="preserve">**En esencia:** No vendemos una app, vendemos la posibilidad de que lo que ya tienes </w:t>
        <w:br/>
        <w:t>se convierta en lo que realmente quieres. Y cobramos un 3% por hacerlo posible.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Seccion">
    <w:name w:val="TituloSeccion"/>
    <w:rPr>
      <w:rFonts w:ascii="Calibri" w:hAnsi="Calibri"/>
      <w:b/>
      <w:color w:val="000000"/>
      <w:sz w:val="32"/>
    </w:rPr>
  </w:style>
  <w:style w:type="paragraph" w:customStyle="1" w:styleId="Subtitulo">
    <w:name w:val="Subtitulo"/>
    <w:rPr>
      <w:rFonts w:ascii="Calibri" w:hAnsi="Calibri"/>
      <w:b/>
      <w:color w:val="1F497D"/>
      <w:sz w:val="28"/>
    </w:rPr>
  </w:style>
  <w:style w:type="paragraph" w:customStyle="1" w:styleId="Parrafo">
    <w:name w:val="Parrafo"/>
    <w:pPr>
      <w:spacing w:line="276" w:lineRule="auto" w:after="120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