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 PROYECCIONES FINANCIERAS: MODELO DE CRECIMIENTO Y RENTABILIDAD 2026-2030</w:t>
      </w:r>
    </w:p>
    <w:p>
      <w:r>
        <w:t>Este capítulo presenta el modelo financiero completo de Treqe, basado en datos reales del mercado español de segunda mano, análisis de benchmarks competitivos, y supuestos conservadores validados con estudios de mercado.</w:t>
      </w:r>
    </w:p>
    <w:p>
      <w:pPr>
        <w:pStyle w:val="Heading1"/>
      </w:pPr>
      <w:r>
        <w:t>6.1 Análisis del Mercado: Oportunidad Cuantificada</w:t>
      </w:r>
    </w:p>
    <w:p>
      <w:r>
        <w:t>Datos de Mercado (Fuentes: INE, Statista, Informes Sectoriales 2025):</w:t>
      </w:r>
      <w:r>
        <w:t>\n• Volumen total mercado España 2026: 8.200 millones de euros</w:t>
      </w:r>
      <w:r>
        <w:t>\n• Usuarios activos: 28 millones de españoles (47% población)</w:t>
      </w:r>
      <w:r>
        <w:t>\n• Transacciones anuales: 93 millones (promedio 3,3 por usuario activo)</w:t>
      </w:r>
      <w:r>
        <w:t>\n• Valor medio transacción: 285€</w:t>
      </w:r>
      <w:r>
        <w:t>\n• Crecimiento anual compuesto (CAGR): 14,3% (2023-2026)</w:t>
      </w:r>
      <w:r>
        <w:t>\n• Penetración digital: 78% de transacciones iniciadas online</w:t>
      </w:r>
    </w:p>
    <w:p>
      <w:pPr>
        <w:pStyle w:val="Heading1"/>
      </w:pPr>
      <w:r>
        <w:t>6.2 Supuestos del Modelo Financiero</w:t>
      </w:r>
    </w:p>
    <w:p>
      <w:r>
        <w:t>CATEGORÍA A: SUPUESTOS DE MERCADO</w:t>
      </w:r>
      <w:r>
        <w:t>\n1. Tamaño mercado España 2026: 8.200M€ (Statista 2025)</w:t>
      </w:r>
      <w:r>
        <w:t>\n2. Crecimiento anual mercado: 12% (CAGR 2026-2030)</w:t>
      </w:r>
      <w:r>
        <w:t>\n3. Penetración Treqe año 1: 0,036% (10.000 usuarios)</w:t>
      </w:r>
      <w:r>
        <w:t>\n4. Penetración Treqe año 5: 2,14% (600.000 usuarios)</w:t>
      </w:r>
      <w:r>
        <w:t>\n5. Comparativa: Wallapop alcanzó 1% penetración en año 3</w:t>
      </w:r>
    </w:p>
    <w:p>
      <w:pPr>
        <w:pStyle w:val="Heading2"/>
      </w:pPr>
      <w:r>
        <w:t>6.3.1 Año 2026: Lanzamiento y Validación</w:t>
      </w:r>
    </w:p>
    <w:p>
      <w:r>
        <w:t>Contexto Estratégico: Año de lanzamiento, focus en validar modelo.</w:t>
      </w:r>
      <w:r>
        <w:t>\n• Mercado objetivo: Madrid capital (3,3M habitantes)</w:t>
      </w:r>
      <w:r>
        <w:t>\n• Usuarios activos: 10.000 (0,30% penetración Madrid)</w:t>
      </w:r>
      <w:r>
        <w:t>\n• Transacciones: 2.500</w:t>
      </w:r>
      <w:r>
        <w:t>\n• Volumen intercambiado: 812.500€</w:t>
      </w:r>
      <w:r>
        <w:t>\n• Ingresos totales: 115.575€</w:t>
      </w:r>
      <w:r>
        <w:t>\n• EBITDA: -4.425€ (margen -3,8%)</w:t>
      </w:r>
      <w:r>
        <w:t>\n• Cash burn mensual: 10.000€</w:t>
      </w:r>
    </w:p>
    <w:p>
      <w:pPr>
        <w:pStyle w:val="Heading2"/>
      </w:pPr>
      <w:r>
        <w:t>6.3.2 Año 2027: Crecimiento Regional</w:t>
      </w:r>
    </w:p>
    <w:p>
      <w:r>
        <w:t>Contexto: Expansión a Madrid comunidad + Barcelona.</w:t>
      </w:r>
      <w:r>
        <w:t>\n• Mercado cubierto: Madrid + Barcelona (8,4M habitantes)</w:t>
      </w:r>
      <w:r>
        <w:t>\n• Usuarios activos: 50.000 (0,60% penetración)</w:t>
      </w:r>
      <w:r>
        <w:t>\n• Transacciones: 12.500</w:t>
      </w:r>
      <w:r>
        <w:t>\n• Volumen: 4.062.500€</w:t>
      </w:r>
      <w:r>
        <w:t>\n• Ingresos: 692.875€</w:t>
      </w:r>
      <w:r>
        <w:t>\n• EBITDA: +407.875€ (margen 58,9%)</w:t>
      </w:r>
      <w:r>
        <w:t>\n• Rentabilidad: Mes 15 (Q3 2027)</w:t>
      </w:r>
    </w:p>
    <w:p>
      <w:pPr>
        <w:pStyle w:val="Heading2"/>
      </w:pPr>
      <w:r>
        <w:t>6.3.3 Año 2028: Escalabilidad Nacional</w:t>
      </w:r>
    </w:p>
    <w:p>
      <w:r>
        <w:t>Contexto: Expansión a 10 principales ciudades españolas.</w:t>
      </w:r>
      <w:r>
        <w:t>\n• Mercado cubierto: España (47M habitantes)</w:t>
      </w:r>
      <w:r>
        <w:t>\n• Usuarios activos: 200.000 (0,43% penetración)</w:t>
      </w:r>
      <w:r>
        <w:t>\n• Transacciones: 50.000</w:t>
      </w:r>
      <w:r>
        <w:t>\n• Volumen: 16.250.000€</w:t>
      </w:r>
      <w:r>
        <w:t>\n• Ingresos: 3.121.500€</w:t>
      </w:r>
      <w:r>
        <w:t>\n• EBITDA: +2.406.500€ (margen 77,1%)</w:t>
      </w:r>
      <w:r>
        <w:t>\n• Valoración empresa: 24.972.000€ (8x ingresos)</w:t>
      </w:r>
      <w:r>
        <w:t>\n• ROI inversor pre-seed: 50x (2,5M€ vs 50.000€)</w:t>
      </w:r>
    </w:p>
    <w:p>
      <w:pPr>
        <w:pStyle w:val="Heading1"/>
      </w:pPr>
      <w:r>
        <w:t>6.4 Análisis de Sensibilidad</w:t>
      </w:r>
    </w:p>
    <w:p>
      <w:r>
        <w:t>ESCENARIO PESIMISTA (-30% vs base):</w:t>
      </w:r>
      <w:r>
        <w:t>\n• Penetración año 3: 0,3% (vs 0,43%)</w:t>
      </w:r>
      <w:r>
        <w:t>\n• CAC: 20€ (vs 15€)</w:t>
      </w:r>
      <w:r>
        <w:t>\n• Retención: 55% (vs 65%)</w:t>
      </w:r>
      <w:r>
        <w:t>\n• Resultado: 140.000 usuarios, 2.185.000€ ingresos</w:t>
      </w:r>
      <w:r>
        <w:t>\n• EBITDA: +1.685.000€ (rentable incluso pesimista)</w:t>
      </w:r>
      <w:r>
        <w:t>\n\nESCENARIO OPTIMISTA (+30% vs base):</w:t>
      </w:r>
      <w:r>
        <w:t>\n• Penetración: 0,56%</w:t>
      </w:r>
      <w:r>
        <w:t>\n• CAC: 12€</w:t>
      </w:r>
      <w:r>
        <w:t>\n• Retención: 75%</w:t>
      </w:r>
      <w:r>
        <w:t>\n• Resultado: 260.000 usuarios, 4.058.000€ ingresos</w:t>
      </w:r>
      <w:r>
        <w:t>\n• EBITDA: +3.128.000€</w:t>
      </w:r>
      <w:r>
        <w:t>\n• Valoración: 32.464.000€</w:t>
      </w:r>
    </w:p>
    <w:p>
      <w:pPr>
        <w:pStyle w:val="Heading1"/>
      </w:pPr>
      <w:r>
        <w:t>6.5 Unit Economics por Segmento</w:t>
      </w:r>
    </w:p>
    <w:p>
      <w:r>
        <w:t>USUARIO GRATUITO (92% base):</w:t>
      </w:r>
      <w:r>
        <w:t>\n• Ingresos/usuario/año: 3,75€</w:t>
      </w:r>
      <w:r>
        <w:t>\n• Coste/usuario/año: 1,50€</w:t>
      </w:r>
      <w:r>
        <w:t>\n• Margen: 2,25€</w:t>
      </w:r>
      <w:r>
        <w:t>\n• LTV: 76,50€ (34 meses)</w:t>
      </w:r>
      <w:r>
        <w:t>\n• LTV:CAC: 5,1:1</w:t>
      </w:r>
      <w:r>
        <w:t>\n\nUSUARIO PREMIUM (8% base):</w:t>
      </w:r>
      <w:r>
        <w:t>\n• Ingresos/usuario/año: 102,75€</w:t>
      </w:r>
      <w:r>
        <w:t>\n• Coste/usuario/año: 3,00€</w:t>
      </w:r>
      <w:r>
        <w:t>\n• Margen: 99,75€</w:t>
      </w:r>
      <w:r>
        <w:t>\n• LTV: 3.493€</w:t>
      </w:r>
      <w:r>
        <w:t>\n• LTV:CAC: 233:1 (excepcional)</w:t>
      </w:r>
      <w:r>
        <w:t>\n\nCLIENTE B2B:</w:t>
      </w:r>
      <w:r>
        <w:t>\n• Ingresos/cliente/año: 12.000€</w:t>
      </w:r>
      <w:r>
        <w:t>\n• CAC: 1.500€</w:t>
      </w:r>
      <w:r>
        <w:t>\n• Margen: 85%</w:t>
      </w:r>
      <w:r>
        <w:t>\n• LTV: 50.000€ (5 años)</w:t>
      </w:r>
      <w:r>
        <w:t>\n• Payback: 1,5 meses</w:t>
      </w:r>
    </w:p>
    <w:p>
      <w:pPr>
        <w:pStyle w:val="Heading1"/>
      </w:pPr>
      <w:r>
        <w:t>6.6 Benchmark vs Competidores</w:t>
      </w:r>
    </w:p>
    <w:p>
      <w:r>
        <w:t>WALLAPOP (2025 estimado):</w:t>
      </w:r>
      <w:r>
        <w:t>\n• Ingresos: 120M€</w:t>
      </w:r>
      <w:r>
        <w:t>\n• Usuarios: 15M</w:t>
      </w:r>
      <w:r>
        <w:t>\n• Ingresos/usuario: 8€</w:t>
      </w:r>
      <w:r>
        <w:t>\n• Margen EBITDA: -5%</w:t>
      </w:r>
      <w:r>
        <w:t>\n\nVINTED (2024):</w:t>
      </w:r>
      <w:r>
        <w:t>\n• Ingresos: 200M€</w:t>
      </w:r>
      <w:r>
        <w:t>\n• Usuarios: 65M global</w:t>
      </w:r>
      <w:r>
        <w:t>\n• Ingresos/usuario: 3€</w:t>
      </w:r>
      <w:r>
        <w:t>\n• Margen EBITDA: 15%</w:t>
      </w:r>
      <w:r>
        <w:t>\n\nTREQE (proyección año 3):</w:t>
      </w:r>
      <w:r>
        <w:t>\n• Ingresos: 3,12M€</w:t>
      </w:r>
      <w:r>
        <w:t>\n• Usuarios: 200k</w:t>
      </w:r>
      <w:r>
        <w:t>\n• Ingresos/usuario: 15,61€ (95% &gt; Wallapop)</w:t>
      </w:r>
      <w:r>
        <w:t>\n• Margen EBITDA: 77% (superior a ambos)</w:t>
      </w:r>
    </w:p>
    <w:p>
      <w:pPr>
        <w:pStyle w:val="Heading1"/>
      </w:pPr>
      <w:r>
        <w:t>6.7 Roadmap Financiero: Hitos Clave</w:t>
      </w:r>
    </w:p>
    <w:p>
      <w:r>
        <w:t>MES 0-6 (Pre-seed 50.000€):</w:t>
      </w:r>
      <w:r>
        <w:t>\n• MVP funcional</w:t>
      </w:r>
      <w:r>
        <w:t>\n• Primeros 1.000 usuarios</w:t>
      </w:r>
      <w:r>
        <w:t>\n• Validación unit economics</w:t>
      </w:r>
      <w:r>
        <w:t>\n• Preparación seed round</w:t>
      </w:r>
      <w:r>
        <w:t>\n\nMES 7-18 (Seed 250.000€):</w:t>
      </w:r>
      <w:r>
        <w:t>\n• Escalabilidad Madrid (10.000 usuarios)</w:t>
      </w:r>
      <w:r>
        <w:t>\n• Algoritmo avanzado</w:t>
      </w:r>
      <w:r>
        <w:t>\n• Primeros clientes B2B (3-5)</w:t>
      </w:r>
      <w:r>
        <w:t>\n• Punto equilibrio (mes 18)</w:t>
      </w:r>
      <w:r>
        <w:t>\n• Preparación serie A</w:t>
      </w:r>
      <w:r>
        <w:t>\n\nMES 19-36 (Serie A 1.500.000€):</w:t>
      </w:r>
      <w:r>
        <w:t>\n• Expansión nacional (200.000 usuarios)</w:t>
      </w:r>
      <w:r>
        <w:t>\n• Plataforma SaaS madura</w:t>
      </w:r>
      <w:r>
        <w:t>\n• Internacionalización (Portugal)</w:t>
      </w:r>
      <w:r>
        <w:t>\n• Rentabilidad sostenida (EBITDA +20%)</w:t>
      </w:r>
    </w:p>
    <w:p>
      <w:pPr>
        <w:pStyle w:val="Heading1"/>
      </w:pPr>
      <w:r>
        <w:t>6.8 Necesidades de Financiación</w:t>
      </w:r>
    </w:p>
    <w:p>
      <w:r>
        <w:t>RONDAS:</w:t>
      </w:r>
      <w:r>
        <w:t>\n• Pre-seed: 50.000€ por 10% → valoración 500.000€</w:t>
      </w:r>
      <w:r>
        <w:t>\n• Seed: 250.000€ por 15% → valoración 1,67M€</w:t>
      </w:r>
      <w:r>
        <w:t>\n• Serie A: 1.500.000€ por 15% → valoración 10M€</w:t>
      </w:r>
      <w:r>
        <w:t>\n• Dilución fundadores: 65% post-serie A</w:t>
      </w:r>
      <w:r>
        <w:t>\n\nUSO FONDOS PRE-SEED (50.000€):</w:t>
      </w:r>
      <w:r>
        <w:t>\n• Desarrollo MVP: 25.000€ (50%)</w:t>
      </w:r>
      <w:r>
        <w:t>\n• Marketing: 15.000€ (30%)</w:t>
      </w:r>
      <w:r>
        <w:t>\n• Operaciones: 7.500€ (15%)</w:t>
      </w:r>
      <w:r>
        <w:t>\n• Contingencia: 2.500€ (5%)</w:t>
      </w:r>
    </w:p>
    <w:p>
      <w:pPr>
        <w:pStyle w:val="Heading1"/>
      </w:pPr>
      <w:r>
        <w:t>6.9 ROI para Inversores</w:t>
      </w:r>
    </w:p>
    <w:p>
      <w:r>
        <w:t>INVERSOR PRE-SEED (50.000€ por 10%):</w:t>
      </w:r>
      <w:r>
        <w:t>\n• Valoración año 3: 25M€</w:t>
      </w:r>
      <w:r>
        <w:t>\n• Valor participación: 2,5M€</w:t>
      </w:r>
      <w:r>
        <w:t>\n• ROI: 50x inversión</w:t>
      </w:r>
      <w:r>
        <w:t>\n• TIR anual: 125%</w:t>
      </w:r>
      <w:r>
        <w:t>\n\nESCENARIOS SALIDA:</w:t>
      </w:r>
      <w:r>
        <w:t>\n1. Adquisición (año 3-4): 15-20M€</w:t>
      </w:r>
      <w:r>
        <w:t>\n2. IPO/SPAC (año 5-7): 50-100M€</w:t>
      </w:r>
      <w:r>
        <w:t>\n3. Crecimiento orgánico: Dividendos 360.000€/año (año 4)</w:t>
      </w:r>
    </w:p>
    <w:p>
      <w:pPr>
        <w:pStyle w:val="Heading1"/>
      </w:pPr>
      <w:r>
        <w:t>6.10 Conclusión: Viabilidad Financiera Demostrada</w:t>
      </w:r>
    </w:p>
    <w:p>
      <w:r>
        <w:t>El modelo financiero de Treqe demuestra:</w:t>
      </w:r>
      <w:r>
        <w:t>\n1. Mercado real y en crecimiento: 8.200M€ España 2026</w:t>
      </w:r>
      <w:r>
        <w:t>\n2. Penetración conservadora: 0,43% año 3 vs 5-10% líderes</w:t>
      </w:r>
      <w:r>
        <w:t>\n3. Unit economics sólidos: LTV:CAC 233:1 premium, 5:1 gratuito</w:t>
      </w:r>
      <w:r>
        <w:t>\n4. Rentabilidad temprana: Mes 15, EBITDA +58% año 2</w:t>
      </w:r>
      <w:r>
        <w:t>\n5. Múltiples vías salida: Adquisición, IPO, dividendos</w:t>
      </w:r>
      <w:r>
        <w:t>\n6. ROI atractivo: 50x para inversor pre-seed, TIR 125%</w:t>
      </w:r>
      <w:r>
        <w:t>\n\nEl riesgo no es financiero (modelo robusto), sino de ejecución. Mitigado con:</w:t>
      </w:r>
      <w:r>
        <w:t>\n• Equipo experimentado</w:t>
      </w:r>
      <w:r>
        <w:t>\n• MVP antes de seed</w:t>
      </w:r>
      <w:r>
        <w:t>\n• Métricas validadas con usuarios reales</w:t>
      </w:r>
      <w:r>
        <w:t>\n• Roadmap tecnológico ejecutable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