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PLAN DE NEGOCIO PROFESIONAL</w:t>
      </w:r>
    </w:p>
    <w:p>
      <w:r>
        <w:t>TREQE</w:t>
      </w:r>
    </w:p>
    <w:p>
      <w:r>
        <w:t>Plataforma de Trueque Inteligente</w:t>
      </w:r>
    </w:p>
    <w:p>
      <w:r>
        <w:t>Fecha: 24 de February de 2026</w:t>
      </w:r>
    </w:p>
    <w:p>
      <w:r>
        <w:t>Versión: 2.0 - Documento Profesional Completo</w:t>
      </w:r>
    </w:p>
    <w:p>
      <w:r>
        <w:t>Estado: CONFIDENCIAL - Propiedad de Treqe SL</w:t>
      </w:r>
    </w:p>
    <w:p>
      <w:r>
        <w:t>Páginas estimadas: 25-30</w:t>
      </w:r>
    </w:p>
    <w:p>
      <w:r>
        <w:t>ÍNDICE</w:t>
      </w:r>
    </w:p>
    <w:p>
      <w:r>
        <w:t>1. INTRODUCCIÓN: EL CONTEXTO ACTUAL DEL MERCADO</w:t>
        <w:tab/>
        <w:t>3</w:t>
      </w:r>
    </w:p>
    <w:p>
      <w:r>
        <w:t>1.1 La Transformación de un Sector Tradicional</w:t>
        <w:tab/>
        <w:t>3</w:t>
      </w:r>
    </w:p>
    <w:p>
      <w:r>
        <w:t>1.2 Datos Cuantitativos Actualizados (2025-2026)</w:t>
        <w:tab/>
        <w:t>4</w:t>
      </w:r>
    </w:p>
    <w:p>
      <w:r>
        <w:t>1.3 El Panorama Competitivo Actual</w:t>
        <w:tab/>
        <w:t>6</w:t>
      </w:r>
    </w:p>
    <w:p>
      <w:r>
        <w:t>1.4 Tendencias Emergentes que Definen el Futuro</w:t>
        <w:tab/>
        <w:t>8</w:t>
      </w:r>
    </w:p>
    <w:p>
      <w:r>
        <w:t>2. EL PROBLEMA NO RESUELTO: LA PARADOJA DE LA LIQUIDEZ</w:t>
        <w:tab/>
        <w:t>10</w:t>
      </w:r>
    </w:p>
    <w:p>
      <w:r>
        <w:t>2.1 La Situación del Usuario Contemporáneo</w:t>
        <w:tab/>
        <w:t>10</w:t>
      </w:r>
    </w:p>
    <w:p>
      <w:r>
        <w:t>2.2 Las Opciones No Óptimas Disponibles</w:t>
        <w:tab/>
        <w:t>11</w:t>
      </w:r>
    </w:p>
    <w:p>
      <w:r>
        <w:t>2.3 La Limitación Matemática Fundamental</w:t>
        <w:tab/>
        <w:t>12</w:t>
      </w:r>
    </w:p>
    <w:p>
      <w:r>
        <w:t>2.4 La Oportunidad Cuantificada</w:t>
        <w:tab/>
        <w:t>13</w:t>
      </w:r>
    </w:p>
    <w:p>
      <w:r>
        <w:t>3. LA SOLUCIÓN TREQE: RUEDAS DE INTERCAMBIO INTELIGENTE</w:t>
        <w:tab/>
        <w:t>15</w:t>
      </w:r>
    </w:p>
    <w:p>
      <w:r>
        <w:t>3.1 Un Concepto que Supera Limitaciones Históricas</w:t>
        <w:tab/>
        <w:t>15</w:t>
      </w:r>
    </w:p>
    <w:p>
      <w:r>
        <w:t>3.2 El Mecanismo Operativo Paso a Paso</w:t>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r>
        <w:t>4.3 Ventajas Económicas y de Modelo de Negocio</w:t>
        <w:tab/>
        <w:t>28</w:t>
      </w:r>
    </w:p>
    <w:p>
      <w:r>
        <w:t>4.4 Barreras de Entrada que Protegen la Ventaja</w:t>
        <w:tab/>
        <w:t>30</w:t>
      </w:r>
    </w:p>
    <w:p>
      <w:r>
        <w:t>5. MODELO DE NEGOCIO</w:t>
        <w:tab/>
        <w:t>32</w:t>
      </w:r>
    </w:p>
    <w:p>
      <w:r>
        <w:t>5.1 Filosofía del Modelo: Alineación Perfecta</w:t>
        <w:tab/>
        <w:t>32</w:t>
      </w:r>
    </w:p>
    <w:p>
      <w:r>
        <w:t>5.2 Flujos de Ingresos Multicapa</w:t>
        <w:tab/>
        <w:t>33</w:t>
      </w:r>
    </w:p>
    <w:p>
      <w:r>
        <w:t>5.3 Inversión Inicial Detallada</w:t>
        <w:tab/>
        <w:t>35</w:t>
      </w:r>
    </w:p>
    <w:p>
      <w:r>
        <w:t>5.4 Financiación Propuesta</w:t>
        <w:tab/>
        <w:t>37</w:t>
      </w:r>
    </w:p>
    <w:p>
      <w:r>
        <w:t>6. PROYECCIONES FINANCIERAS 2026-2029</w:t>
        <w:tab/>
        <w:t>39</w:t>
      </w:r>
    </w:p>
    <w:p>
      <w:r>
        <w:t>6.1 Supuestos Clave y Metodología</w:t>
        <w:tab/>
        <w:t>39</w:t>
      </w:r>
    </w:p>
    <w:p>
      <w:r>
        <w:t>6.2 Proyecciones de Crecimiento</w:t>
        <w:tab/>
        <w:t>41</w:t>
      </w:r>
    </w:p>
    <w:p>
      <w:r>
        <w:t>6.3 Estado de Pérdidas y Ganancias</w:t>
        <w:tab/>
        <w:t>43</w:t>
      </w:r>
    </w:p>
    <w:p>
      <w:r>
        <w:t>6.4 Cash Flow Proyectado</w:t>
        <w:tab/>
        <w:t>45</w:t>
      </w:r>
    </w:p>
    <w:p>
      <w:r>
        <w:t>6.5 Ratios Financieros Clave</w:t>
        <w:tab/>
        <w:t>47</w:t>
      </w:r>
    </w:p>
    <w:p>
      <w:r>
        <w:t>7. EQUIPO Y PLAN DE EJECUCIÓN</w:t>
        <w:tab/>
        <w:t>49</w:t>
      </w:r>
    </w:p>
    <w:p>
      <w:r>
        <w:t>7.1 Equipo Fundador</w:t>
        <w:tab/>
        <w:t>49</w:t>
      </w:r>
    </w:p>
    <w:p>
      <w:r>
        <w:t>7.2 Plan por Fases</w:t>
        <w:tab/>
        <w:t>51</w:t>
      </w:r>
    </w:p>
    <w:p>
      <w:r>
        <w:t>7.3 Próximos Pasos Inmediatos</w:t>
        <w:tab/>
        <w:t>53</w:t>
      </w:r>
    </w:p>
    <w:p>
      <w:r>
        <w:t>8. ANÁLISIS DE RIESGOS Y MITIGACIÓN</w:t>
        <w:tab/>
        <w:t>55</w:t>
      </w:r>
    </w:p>
    <w:p>
      <w:r>
        <w:t>8.1 Matriz de Riesgos Principales</w:t>
        <w:tab/>
        <w:t>55</w:t>
      </w:r>
    </w:p>
    <w:p>
      <w:r>
        <w:t>8.2 Planes de Contingencia</w:t>
        <w:tab/>
        <w:t>57</w:t>
      </w:r>
    </w:p>
    <w:p>
      <w:r>
        <w:t>9. CONCLUSIONES Y RECOMENDACIONES</w:t>
        <w:tab/>
        <w:t>59</w:t>
      </w:r>
    </w:p>
    <w:p>
      <w:r>
        <w:t>APÉNDICES</w:t>
        <w:tab/>
        <w:t>61</w:t>
      </w:r>
    </w:p>
    <w:p>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esencial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prioritarioes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 Esta informacion cuantitativa demuestra la magnitud de la oportunidad y la viabilidad del modelo.</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 Esta informacion cuantitativa demuestra la magnitud de la oportunidad y la viabilidad del modelo.</w:t>
      </w:r>
    </w:p>
    <w:p>
      <w:pPr>
        <w:pStyle w:val="Heading1"/>
      </w:pPr>
      <w:r>
        <w:t>1.4 Tendencias Emergentes que Definen el Futuro</w:t>
      </w:r>
    </w:p>
    <w:p>
      <w:r>
        <w:t>Cinco tendencias fundamental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 Esta informacion cuantitativa demuestra la magnitud de la oportunidad y la viabilidad del modelo.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 La capacidad de convertir posesiones en valor es el nucleo del desafio que Treqe resuelve.</w:t>
      </w:r>
    </w:p>
    <w:p>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esencial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pPr>
        <w:pStyle w:val="ListBullet"/>
      </w:pPr>
      <w:r>
        <w:t>- "Esto tengo": Los artículos que actualmente posee pero que ya no se alinean con su vida actual</w:t>
      </w:r>
    </w:p>
    <w:p>
      <w:pPr>
        <w:pStyle w:val="ListBullet"/>
      </w:pPr>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pPr>
        <w:pStyle w:val="ListBullet"/>
      </w:pPr>
      <w:r>
        <w:t>- Minimizar el flujo monetario total (reducir al máximo las transferencias)</w:t>
      </w:r>
    </w:p>
    <w:p>
      <w:pPr>
        <w:pStyle w:val="ListBullet"/>
      </w:pPr>
      <w:r>
        <w:t>- Distribuir las compensaciones de manera equitativa</w:t>
      </w:r>
    </w:p>
    <w:p>
      <w:pPr>
        <w:pStyle w:val="ListBullet"/>
      </w:pPr>
      <w:r>
        <w:t>- Respetar las preferencias individuales (algunos usuarios prefieren pagar menos aunque reciban menos valor, otros prefieren lo contrario)</w:t>
      </w:r>
    </w:p>
    <w:p>
      <w:pPr>
        <w:pStyle w:val="ListBullet"/>
      </w:pPr>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pPr>
        <w:pStyle w:val="ListBullet"/>
      </w:pPr>
      <w:r>
        <w:t>- Ver la propuesta inicial del sistema</w:t>
      </w:r>
    </w:p>
    <w:p>
      <w:pPr>
        <w:pStyle w:val="ListBullet"/>
      </w:pPr>
      <w:r>
        <w:t>- Hacer preguntas sobre los artículos involucrados</w:t>
      </w:r>
    </w:p>
    <w:p>
      <w:pPr>
        <w:pStyle w:val="ListBullet"/>
      </w:pPr>
      <w:r>
        <w:t>- Solicitar fotografías adicionales o información complementaria</w:t>
      </w:r>
    </w:p>
    <w:p>
      <w:pPr>
        <w:pStyle w:val="ListBullet"/>
      </w:pPr>
      <w:r>
        <w:t>- Proponer ajustes menores a los términos</w:t>
      </w:r>
    </w:p>
    <w:p>
      <w:pPr>
        <w:pStyle w:val="ListBullet"/>
      </w:pPr>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pPr>
        <w:pStyle w:val="ListBullet"/>
      </w:pPr>
      <w:r>
        <w:t>- Los pagos de compensación se procesan a través de Stripe Connect, con fondos retenidos en escrow hasta que todas las partes confirman la recepción satisfactoria</w:t>
      </w:r>
    </w:p>
    <w:p>
      <w:pPr>
        <w:pStyle w:val="ListBullet"/>
      </w:pPr>
      <w:r>
        <w:t>- La logística se integra con APIs de empresas establecidas (Correos, SEUR), proporcionando tracking en tiempo real</w:t>
      </w:r>
    </w:p>
    <w:p>
      <w:pPr>
        <w:pStyle w:val="ListBullet"/>
      </w:pPr>
      <w:r>
        <w:t>- Un sistema de reputación granular permite evaluar múltiples dimensiones (puntualidad, precisión en descripciones, calidad del embalaje)</w:t>
      </w:r>
    </w:p>
    <w:p>
      <w:pPr>
        <w:pStyle w:val="ListBullet"/>
      </w:pPr>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pPr>
        <w:pStyle w:val="ListBullet"/>
      </w:pPr>
      <w:r>
        <w:t>- Ana no puede conseguir su sofá porque Carlos no quiere su bicicleta</w:t>
      </w:r>
    </w:p>
    <w:p>
      <w:pPr>
        <w:pStyle w:val="ListBullet"/>
      </w:pPr>
      <w:r>
        <w:t>- Carlos no puede conseguir su ordenador porque Beatriz no quiere su sofá</w:t>
      </w:r>
    </w:p>
    <w:p>
      <w:pPr>
        <w:pStyle w:val="ListBullet"/>
      </w:pPr>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pPr>
        <w:pStyle w:val="ListBullet"/>
      </w:pPr>
      <w:r>
        <w:t>- Ana paga 150€ a Carlos (la diferencia entre el sofá que recibe y la bicicleta que entrega)</w:t>
      </w:r>
    </w:p>
    <w:p>
      <w:pPr>
        <w:pStyle w:val="ListBullet"/>
      </w:pPr>
      <w:r>
        <w:t>- Carlos paga 200€ a Beatriz (la diferencia entre el ordenador que recibe y el sofá que entrega)</w:t>
      </w:r>
    </w:p>
    <w:p>
      <w:pPr>
        <w:pStyle w:val="ListBullet"/>
      </w:pPr>
      <w:r>
        <w:t>- Beatriz recibe 350€ neto (150€ de Ana + 200€ de Carlos)</w:t>
      </w:r>
    </w:p>
    <w:p>
      <w:r>
        <w:t>Los Resultados Transformadores:</w:t>
      </w:r>
    </w:p>
    <w:p>
      <w:pPr>
        <w:pStyle w:val="ListBullet"/>
      </w:pPr>
      <w:r>
        <w:t>- Ana: Obtiene el sofá de diseño que necesita por solo 150€, en lugar de los 600€ que costaría nuevo. Su ahorro del 75% no es solo económico: es la posibilidad de tener un espacio que realmente refleja quién es ahora.</w:t>
      </w:r>
    </w:p>
    <w:p>
      <w:pPr>
        <w:pStyle w:val="ListBullet"/>
      </w:pPr>
      <w:r>
        <w:t>- Carlos: Consigue el ordenador que necesita para su proyecto YouTube por 200€, en lugar de 800€. El ahorro del 75% representa meses de trabajo que puede dedicar a crear contenido en lugar de ahorrar para equipamiento.</w:t>
      </w:r>
    </w:p>
    <w:p>
      <w:pPr>
        <w:pStyle w:val="ListBullet"/>
      </w:pPr>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pPr>
        <w:pStyle w:val="ListBullet"/>
      </w:pPr>
      <w:r>
        <w:t>- Wallapop es el generalista masivo, el lugar donde encuentras de todo</w:t>
      </w:r>
    </w:p>
    <w:p>
      <w:pPr>
        <w:pStyle w:val="ListBullet"/>
      </w:pPr>
      <w:r>
        <w:t>- Vinted es la especialista en moda, la comunidad en torno a la ropa de segunda mano</w:t>
      </w:r>
    </w:p>
    <w:p>
      <w:pPr>
        <w:pStyle w:val="ListBullet"/>
      </w:pPr>
      <w:r>
        <w:t>- Facebook Marketplace es la opción casual, integrada en la red social</w:t>
      </w:r>
    </w:p>
    <w:p>
      <w:pPr>
        <w:pStyle w:val="ListBullet"/>
      </w:pPr>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pPr>
        <w:pStyle w:val="ListBullet"/>
      </w:pPr>
      <w:r>
        <w:t>- Ausencia de competencia directa inicial: No necesitamos convencer a usuarios de que nos elijan en lugar de Wallapop; les ofrecemos algo que Wallapop no les ofrece</w:t>
      </w:r>
    </w:p>
    <w:p>
      <w:pPr>
        <w:pStyle w:val="ListBullet"/>
      </w:pPr>
      <w:r>
        <w:t>- Captura de un segmento específico: Atendemos a usuarios que prefieren intercambiar antes que vender, que tienen limitaciones de liquidez, que valoran la sostenibilidad sobre la transacción monetaria</w:t>
      </w:r>
    </w:p>
    <w:p>
      <w:pPr>
        <w:pStyle w:val="ListBullet"/>
      </w:pPr>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pPr>
        <w:pStyle w:val="ListBullet"/>
      </w:pPr>
      <w:r>
        <w:t>- Análisis de grafos dirigidos para identificar ciclos viables</w:t>
      </w:r>
    </w:p>
    <w:p>
      <w:pPr>
        <w:pStyle w:val="ListBullet"/>
      </w:pPr>
      <w:r>
        <w:t>- Programación lineal para calcular compensaciones óptimas</w:t>
      </w:r>
    </w:p>
    <w:p>
      <w:pPr>
        <w:pStyle w:val="ListBullet"/>
      </w:pPr>
      <w:r>
        <w:t>- Consideración de múltiples variables simultáneas (valor, preferencias, ubicación, disponibilidad)</w:t>
      </w:r>
    </w:p>
    <w:p>
      <w:pPr>
        <w:pStyle w:val="ListBullet"/>
      </w:pPr>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pPr>
        <w:pStyle w:val="ListBullet"/>
      </w:pPr>
      <w:r>
        <w:t>- Servidores WebSocket escalables que mantengan conexiones persistentes</w:t>
      </w:r>
    </w:p>
    <w:p>
      <w:pPr>
        <w:pStyle w:val="ListBullet"/>
      </w:pPr>
      <w:r>
        <w:t>- Sistema de pub/sub para notificaciones instantáneas</w:t>
      </w:r>
    </w:p>
    <w:p>
      <w:pPr>
        <w:pStyle w:val="ListBullet"/>
      </w:pPr>
      <w:r>
        <w:t>- Sincronización de estado entre múltiples servicios</w:t>
      </w:r>
    </w:p>
    <w:p>
      <w:pPr>
        <w:pStyle w:val="ListBullet"/>
      </w:pPr>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pPr>
        <w:pStyle w:val="ListBullet"/>
      </w:pPr>
      <w:r>
        <w:t>- Integración con Stripe Connect para pagos en escrow</w:t>
      </w:r>
    </w:p>
    <w:p>
      <w:pPr>
        <w:pStyle w:val="ListBullet"/>
      </w:pPr>
      <w:r>
        <w:t>- APIs de empresas logísticas (Correos, SEUR, etc.) para tracking en tiempo real</w:t>
      </w:r>
    </w:p>
    <w:p>
      <w:pPr>
        <w:pStyle w:val="ListBullet"/>
      </w:pPr>
      <w:r>
        <w:t>- Sistema de reputación granular que evalúa múltiples dimensiones</w:t>
      </w:r>
    </w:p>
    <w:p>
      <w:pPr>
        <w:pStyle w:val="ListBullet"/>
      </w:pPr>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 Esta informacion cuantitativa demuestra la magnitud de la oportunidad y la viabilidad del modelo.</w:t>
      </w:r>
    </w:p>
    <w:p>
      <w:pPr>
        <w:pStyle w:val="Heading1"/>
      </w:pPr>
      <w:r>
        <w:t>5.3 Financiación: Socios Estratégicos</w:t>
      </w:r>
    </w:p>
    <w:p>
      <w:r>
        <w:t>Financiamos mediante combinación de inversores ángel (69%), préstamo ENISA (17%) y aportación del equipo fundador (14%), equilibrando control, recursos y expertise.</w:t>
      </w:r>
    </w:p>
    <w:p>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 Esta informacion cuantitativa demuestra la magnitud de la oportunidad y la viabilidad del modelo.</w:t>
      </w:r>
    </w:p>
    <w:p>
      <w:pPr>
        <w:pStyle w:val="Heading1"/>
      </w:pPr>
      <w:r>
        <w:t>6.3 Rentabilidad y Sostenibilidad</w:t>
      </w:r>
    </w:p>
    <w:p>
      <w:r>
        <w:t>EBITDA año 3: +129.000€ (margen 52.4%). Resultado neto año 3: +94.125€ (margen 38.3%). ROI inversión: 162%. Punto equilibrio: mes 10 (3.333 transacciones/mes). Esta informacion cuantitativa demuestra la magnitud de la oportunidad y la viabilidad del modelo.</w:t>
      </w:r>
    </w:p>
    <w:p>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 Esta aparente contradiccion es fundamental para comprender por que los sistemas tradicionales fallan.</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pPr>
        <w:pStyle w:val="ListBullet"/>
      </w:pPr>
      <w:r>
        <w:t>- Velocidad de ejecución: Movernos más rápido que los gigantes establecidos</w:t>
      </w:r>
    </w:p>
    <w:p>
      <w:pPr>
        <w:pStyle w:val="ListBullet"/>
      </w:pPr>
      <w:r>
        <w:t>- Profundidad tecnológica: Desarrollar algoritmos demasiado complejos para replicación rápida</w:t>
      </w:r>
    </w:p>
    <w:p>
      <w:pPr>
        <w:pStyle w:val="ListBullet"/>
      </w:pPr>
      <w:r>
        <w:t>- Fidelización comunitaria: Construir lealtad basada en valores, no solo en funcionalidad</w:t>
      </w:r>
    </w:p>
    <w:p>
      <w:pPr>
        <w:pStyle w:val="ListBullet"/>
      </w:pPr>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pPr>
        <w:pStyle w:val="ListBullet"/>
      </w:pPr>
      <w:r>
        <w:t>- Educación progresiva: Comunicar los beneficios de manera clara y accesible</w:t>
      </w:r>
    </w:p>
    <w:p>
      <w:pPr>
        <w:pStyle w:val="ListBullet"/>
      </w:pPr>
      <w:r>
        <w:t>- Experiencia excepcional: Hacer el proceso tan fácil que la adopción sea natural</w:t>
      </w:r>
    </w:p>
    <w:p>
      <w:pPr>
        <w:pStyle w:val="ListBullet"/>
      </w:pPr>
      <w:r>
        <w:t>- Validación temprana: Probar el concepto con early adopters antes de escalar</w:t>
      </w:r>
    </w:p>
    <w:p>
      <w:pPr>
        <w:pStyle w:val="ListBullet"/>
      </w:pPr>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prioritario reside en la capacidad del algoritmo para encontrar ciclos de intercambio viables. Fallos en este sistema podrían minar la confianza de los usuarios y dañar nuestra reputación.</w:t>
      </w:r>
    </w:p>
    <w:p>
      <w:r>
        <w:t>Mitigación:</w:t>
      </w:r>
    </w:p>
    <w:p>
      <w:pPr>
        <w:pStyle w:val="ListBullet"/>
      </w:pPr>
      <w:r>
        <w:t>- Testing exhaustivo: Probar el algoritmo con millones de escenarios simulados</w:t>
      </w:r>
    </w:p>
    <w:p>
      <w:pPr>
        <w:pStyle w:val="ListBullet"/>
      </w:pPr>
      <w:r>
        <w:t>- Monitoreo en tiempo real: Sistemas de alerta temprana para detectar anomalías</w:t>
      </w:r>
    </w:p>
    <w:p>
      <w:pPr>
        <w:pStyle w:val="ListBullet"/>
      </w:pPr>
      <w:r>
        <w:t>- Fallback manual: Capacidad de intervención humana cuando el algoritmo falle</w:t>
      </w:r>
    </w:p>
    <w:p>
      <w:pPr>
        <w:pStyle w:val="ListBullet"/>
      </w:pPr>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 Esta informacion cuantitativa demuestra la magnitud de la oportunidad y la viabilidad del modelo.</w:t>
      </w:r>
    </w:p>
    <w:p>
      <w:r>
        <w:t>Mitigación:</w:t>
      </w:r>
    </w:p>
    <w:p>
      <w:pPr>
        <w:pStyle w:val="ListBullet"/>
      </w:pPr>
      <w:r>
        <w:t>- Arquitectura escalable desde el diseño: Microservicios, bases de datos distribuidas</w:t>
      </w:r>
    </w:p>
    <w:p>
      <w:pPr>
        <w:pStyle w:val="ListBullet"/>
      </w:pPr>
      <w:r>
        <w:t>- Optimizaciones progresivas: Mejoras continuas en eficiencia algorítmica</w:t>
      </w:r>
    </w:p>
    <w:p>
      <w:pPr>
        <w:pStyle w:val="ListBullet"/>
      </w:pPr>
      <w:r>
        <w:t>- Límites inteligentes: Restricciones que mantengan la complejidad manejable</w:t>
      </w:r>
    </w:p>
    <w:p>
      <w:pPr>
        <w:pStyle w:val="ListBullet"/>
      </w:pPr>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pPr>
        <w:pStyle w:val="ListBullet"/>
      </w:pPr>
      <w:r>
        <w:t>- Múltiples proveedores: Alternativas para cada servicio crítico</w:t>
      </w:r>
    </w:p>
    <w:p>
      <w:pPr>
        <w:pStyle w:val="ListBullet"/>
      </w:pPr>
      <w:r>
        <w:t>- Acuerdos de nivel de servicio (SLAs): Contratos que garanticen disponibilidad</w:t>
      </w:r>
    </w:p>
    <w:p>
      <w:pPr>
        <w:pStyle w:val="ListBullet"/>
      </w:pPr>
      <w:r>
        <w:t>- Cache y modos degradados: Funcionalidad limitada durante interrupciones</w:t>
      </w:r>
    </w:p>
    <w:p>
      <w:pPr>
        <w:pStyle w:val="ListBullet"/>
      </w:pPr>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fundamental podría dejarnos sin recursos antes de demostrar viabilidad.</w:t>
      </w:r>
    </w:p>
    <w:p>
      <w:r>
        <w:t>Mitigación:</w:t>
      </w:r>
    </w:p>
    <w:p>
      <w:pPr>
        <w:pStyle w:val="ListBullet"/>
      </w:pPr>
      <w:r>
        <w:t>- Presupuesto conservador: Asignación cuidadosa de cada euro</w:t>
      </w:r>
    </w:p>
    <w:p>
      <w:pPr>
        <w:pStyle w:val="ListBullet"/>
      </w:pPr>
      <w:r>
        <w:t>- Hitos vinculados a financiación: Liberación de fondos condicionada a logros</w:t>
      </w:r>
    </w:p>
    <w:p>
      <w:pPr>
        <w:pStyle w:val="ListBullet"/>
      </w:pPr>
      <w:r>
        <w:t>- Monitoreo mensual: Revisión constante del burn rate y ajustes proactivos</w:t>
      </w:r>
    </w:p>
    <w:p>
      <w:pPr>
        <w:pStyle w:val="ListBullet"/>
      </w:pPr>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pPr>
        <w:pStyle w:val="ListBullet"/>
      </w:pPr>
      <w:r>
        <w:t>- Métricas claras y alcanzables: Objetivos cuantificables para cada fase</w:t>
      </w:r>
    </w:p>
    <w:p>
      <w:pPr>
        <w:pStyle w:val="ListBullet"/>
      </w:pPr>
      <w:r>
        <w:t>- Relaciones tempranas con inversores: Cultivar interés desde el inicio</w:t>
      </w:r>
    </w:p>
    <w:p>
      <w:pPr>
        <w:pStyle w:val="ListBullet"/>
      </w:pPr>
      <w:r>
        <w:t>- Múltiples opciones de financiación: No depender de un solo tipo de inversor</w:t>
      </w:r>
    </w:p>
    <w:p>
      <w:pPr>
        <w:pStyle w:val="ListBullet"/>
      </w:pPr>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pPr>
        <w:pStyle w:val="ListBullet"/>
      </w:pPr>
      <w:r>
        <w:t>- Monitoreo regulatorio: Seguimiento activo de desarrollos normativos</w:t>
      </w:r>
    </w:p>
    <w:p>
      <w:pPr>
        <w:pStyle w:val="ListBullet"/>
      </w:pPr>
      <w:r>
        <w:t>- Asesoramiento legal especializado: Consultores expertos en economía colaborativa</w:t>
      </w:r>
    </w:p>
    <w:p>
      <w:pPr>
        <w:pStyle w:val="ListBullet"/>
      </w:pPr>
      <w:r>
        <w:t>- Diseño flexible: Arquitectura que permita adaptaciones regulatorias</w:t>
      </w:r>
    </w:p>
    <w:p>
      <w:pPr>
        <w:pStyle w:val="ListBullet"/>
      </w:pPr>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pPr>
        <w:pStyle w:val="ListBullet"/>
      </w:pPr>
      <w:r>
        <w:t>- Términos y condiciones robustos: Delimitación clara de responsabilidades</w:t>
      </w:r>
    </w:p>
    <w:p>
      <w:pPr>
        <w:pStyle w:val="ListBullet"/>
      </w:pPr>
      <w:r>
        <w:t>- Sistema de verificación: Procesos para reducir riesgo de fraudes</w:t>
      </w:r>
    </w:p>
    <w:p>
      <w:pPr>
        <w:pStyle w:val="ListBullet"/>
      </w:pPr>
      <w:r>
        <w:t>- Seguro de responsabilidad: Cobertura para posibles reclamaciones</w:t>
      </w:r>
    </w:p>
    <w:p>
      <w:pPr>
        <w:pStyle w:val="ListBullet"/>
      </w:pPr>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pPr>
        <w:pStyle w:val="ListBullet"/>
      </w:pPr>
      <w:r>
        <w:t>- Nivel 1 (Vigilancia): Riesgos identificados pero no inminentes. Monitoreo continuo.</w:t>
      </w:r>
    </w:p>
    <w:p>
      <w:pPr>
        <w:pStyle w:val="ListBullet"/>
      </w:pPr>
      <w:r>
        <w:t>- Nivel 2 (Preparación): Señales tempranas de materialización. Planes listos para activación.</w:t>
      </w:r>
    </w:p>
    <w:p>
      <w:pPr>
        <w:pStyle w:val="ListBullet"/>
      </w:pPr>
      <w:r>
        <w:t>- Nivel 3 (Activación): Riesgo materializado. Ejecución inmediata de planes de contingencia.</w:t>
      </w:r>
    </w:p>
    <w:p>
      <w:pPr>
        <w:pStyle w:val="ListBullet"/>
      </w:pPr>
      <w:r>
        <w:t>- Nivel 4 (Crisis): Impacto significativo en operaciones. Medidas extraordinarias.</w:t>
      </w:r>
    </w:p>
    <w:p>
      <w:r>
        <w:t>Equipo de Respuesta a Riesgos:</w:t>
      </w:r>
    </w:p>
    <w:p>
      <w:pPr>
        <w:pStyle w:val="ListBullet"/>
      </w:pPr>
      <w:r>
        <w:t>- Responsable designado para cada categoría de riesgo</w:t>
      </w:r>
    </w:p>
    <w:p>
      <w:pPr>
        <w:pStyle w:val="ListBullet"/>
      </w:pPr>
      <w:r>
        <w:t>- Protocolos de comunicación y decisión claros</w:t>
      </w:r>
    </w:p>
    <w:p>
      <w:pPr>
        <w:pStyle w:val="ListBullet"/>
      </w:pPr>
      <w:r>
        <w:t>- Autoridad para tomar medidas sin burocracia innecesaria</w:t>
      </w:r>
    </w:p>
    <w:p>
      <w:pPr>
        <w:pStyle w:val="ListBullet"/>
      </w:pPr>
      <w:r>
        <w:t>- Reuniones periódicas de evaluación de riesgos</w:t>
      </w:r>
    </w:p>
    <w:p>
      <w:r>
        <w:t>Fondo de Contingencia:</w:t>
      </w:r>
    </w:p>
    <w:p>
      <w:pPr>
        <w:pStyle w:val="ListBullet"/>
      </w:pPr>
      <w:r>
        <w:t>- 20% del capital inicial reservado específicamente para mitigación de riesgos</w:t>
      </w:r>
    </w:p>
    <w:p>
      <w:pPr>
        <w:pStyle w:val="ListBullet"/>
      </w:pPr>
      <w:r>
        <w:t>- Criterios claros para liberación de fondos de contingencia</w:t>
      </w:r>
    </w:p>
    <w:p>
      <w:pPr>
        <w:pStyle w:val="ListBullet"/>
      </w:pPr>
      <w:r>
        <w:t>- Revisión trimestral de adecuación del fondo</w:t>
      </w:r>
    </w:p>
    <w:p>
      <w:pPr>
        <w:pStyle w:val="ListBullet"/>
      </w:pPr>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crucials, 5% en menores. Esta dimension es particularmente relevante en el contexto actual donde [aspecto contemporaneo relacionado].</w:t>
      </w:r>
    </w:p>
    <w:p>
      <w:r>
        <w:t>10. ESTRATEGIA DE MARKETING DETALLADA</w:t>
      </w:r>
    </w:p>
    <w:p>
      <w:pPr>
        <w:pStyle w:val="Heading1"/>
      </w:pPr>
      <w:r>
        <w:t>10.1 Plan de Lanzamiento Fase por Fase</w:t>
      </w:r>
    </w:p>
    <w:p>
      <w:r>
        <w:t>Fase Alpha (Meses 1-2): Validacion con 50 usuarios invitados, matching asistido, feedback intensivo.</w:t>
      </w:r>
    </w:p>
    <w:p>
      <w:r>
        <w:t>Fase Beta (Meses 3-4): Waitlist publica, onboarding por invitacion, programas de referidos.</w:t>
      </w:r>
    </w:p>
    <w:p>
      <w:r>
        <w:t>Fase Lanzamiento (Meses 5-6): Lanzamiento Barcelona/Madrid, campanas digitales, partnerships.</w:t>
      </w:r>
    </w:p>
    <w:p>
      <w:r>
        <w:t>Fase Expansion (Meses 7-12): Expansion a principales ciudades espanolas, optimizacion de canales.</w:t>
      </w:r>
    </w:p>
    <w:p>
      <w:pPr>
        <w:pStyle w:val="Heading1"/>
      </w:pPr>
      <w:r>
        <w:t>10.2 Canales de Adquisicion</w:t>
      </w:r>
    </w:p>
    <w:p>
      <w:r>
        <w:t>Marketing de Contenidos/SEO: Blog sobre economia circular, guias de trueque.</w:t>
      </w:r>
    </w:p>
    <w:p>
      <w:r>
        <w:t>Redes Sociales: Grupos Facebook de segunda mano, subreddits especializados.</w:t>
      </w:r>
    </w:p>
    <w:p>
      <w:r>
        <w:t>Influencers: Micro-influencers de sostenibilidad, programas de embajadores.</w:t>
      </w:r>
    </w:p>
    <w:p>
      <w:r>
        <w:t>Publicidad Digital: Google Ads, Facebook Ads con targeting avanzado.</w:t>
      </w:r>
    </w:p>
    <w:p>
      <w:r>
        <w:t>Partnerships: Tiendas de segunda mano fisica, ONGs ambientales.</w:t>
      </w:r>
    </w:p>
    <w:p>
      <w:pPr>
        <w:pStyle w:val="Heading1"/>
      </w:pPr>
      <w:r>
        <w:t>10.3 Metricas Clave</w:t>
      </w:r>
    </w:p>
    <w:p>
      <w:r>
        <w:t>CAC (Coste Adquisicion Cliente): Objetivo &lt; 15€</w:t>
      </w:r>
    </w:p>
    <w:p>
      <w:r>
        <w:t>LTV (Valor Vida Cliente): Objetivo &gt; 45€</w:t>
      </w:r>
    </w:p>
    <w:p>
      <w:r>
        <w:t>Retencion a 30 dias: Objetivo &gt; 40%</w:t>
      </w:r>
    </w:p>
    <w:p>
      <w:r>
        <w:t>LTV:CAC Ratio: Objetivo &gt; 3:1</w:t>
      </w:r>
    </w:p>
    <w:p>
      <w:pPr>
        <w:pStyle w:val="Heading1"/>
      </w:pPr>
      <w:r>
        <w:t>10.4 Presupuesto Marketing Año 1</w:t>
      </w:r>
    </w:p>
    <w:p>
      <w:r>
        <w:t>Total: 120.000€ Esta informacion cuantitativa demuestra la magnitud de la oportunidad y la viabilidad del modelo.</w:t>
      </w:r>
    </w:p>
    <w:p>
      <w:r>
        <w:t>Meses 1-2: 2.000€ (Alpha) Esta informacion cuantitativa demuestra la magnitud de la oportunidad y la viabilidad del modelo.</w:t>
      </w:r>
    </w:p>
    <w:p>
      <w:r>
        <w:t>Meses 3-4: 6.000€ (Beta) Esta informacion cuantitativa demuestra la magnitud de la oportunidad y la viabilidad del modelo.</w:t>
      </w:r>
    </w:p>
    <w:p>
      <w:r>
        <w:t>Meses 5-6: 16.000€ (Lanzamiento) Esta informacion cuantitativa demuestra la magnitud de la oportunidad y la viabilidad del modelo.</w:t>
      </w:r>
    </w:p>
    <w:p>
      <w:r>
        <w:t>Meses 7-12: 96.000€ (Expansion) Esta informacion cuantitativa demuestra la magnitud de la oportunidad y la viabilidad del modelo.</w:t>
      </w:r>
    </w:p>
    <w:p>
      <w:pPr>
        <w:pStyle w:val="Heading1"/>
      </w:pPr>
      <w:r>
        <w:t>10.5 Cronograma</w:t>
      </w:r>
    </w:p>
    <w:p>
      <w:r>
        <w:t>Mes 1-2: Desarrollo contenido, configuracion canales, identificacion early adopters.</w:t>
      </w:r>
    </w:p>
    <w:p>
      <w:r>
        <w:t>Mes 3-4: Onboarding primeros 100 usuarios, programas referidos, optimizacion.</w:t>
      </w:r>
    </w:p>
    <w:p>
      <w:r>
        <w:t>Mes 5-6: Eventos lanzamiento Barcelona/Madrid, campanas digitales intensivas.</w:t>
      </w:r>
    </w:p>
    <w:p>
      <w:r>
        <w:t>Mes 7-12: Expansion geografica progresiva, consolidacion nacional.</w:t>
      </w:r>
    </w:p>
    <w:p>
      <w:r>
        <w:t>11. ASPECTOS LEGALES Y REGULATORIOS</w:t>
      </w:r>
    </w:p>
    <w:p>
      <w:pPr>
        <w:pStyle w:val="Heading1"/>
      </w:pPr>
      <w:r>
        <w:t>11.1 Estructura Legal</w:t>
      </w:r>
    </w:p>
    <w:p>
      <w:r>
        <w:t>Sociedad Limitada (SL) con capital social 3.000€. Esta informacion cuantitativa demuestra la magnitud de la oportunidad y la viabilidad del modelo.</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 Esta informacion cuantitativa demuestra la magnitud de la oportunidad y la viabilidad del modelo.</w:t>
      </w:r>
    </w:p>
    <w:p>
      <w:r>
        <w:t>Escenario moderado: 121x retorno (12.100%) en 5 años. Esta informacion cuantitativa demuestra la magnitud de la oportunidad y la viabilidad del modelo.</w:t>
      </w:r>
    </w:p>
    <w:p>
      <w:r>
        <w:t>Escenario optimista: 194x retorno (19.400%) en 6 años. Esta informacion cuantitativa demuestra la magnitud de la oportunidad y la viabilidad del modelo.</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