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APÉNDICE C: ESTRUCTURA LEGAL Y CONTRATOS TREQE</w:t>
      </w:r>
    </w:p>
    <w:p>
      <w:pPr>
        <w:pStyle w:val="Heading1"/>
      </w:pPr>
      <w:r>
        <w:t>C.1 Estructura Societaria</w:t>
      </w:r>
    </w:p>
    <w:p>
      <w:r>
        <w:t>SOCIEDAD LIMITADA (SL):</w:t>
      </w:r>
      <w:r>
        <w:br/>
        <w:t>• Capital social: 3.000€</w:t>
      </w:r>
      <w:r>
        <w:br/>
        <w:t>• Administradores: María (CEO), Carlos (CTO), Beatriz (COO)</w:t>
      </w:r>
      <w:r>
        <w:br/>
        <w:t>• Domicilio: Madrid (regimen startup)</w:t>
      </w:r>
      <w:r>
        <w:br/>
        <w:t>• Coste constitución: 1.200€ (gestoría)</w:t>
      </w:r>
    </w:p>
    <w:p>
      <w:pPr>
        <w:pStyle w:val="Heading1"/>
      </w:pPr>
      <w:r>
        <w:t>C.2 Contratos Clave</w:t>
      </w:r>
    </w:p>
    <w:p>
      <w:r>
        <w:t>1. TÉRMINOS USUARIO:</w:t>
      </w:r>
      <w:r>
        <w:br/>
        <w:t>• Limitación responsabilidad: 500€/transacción</w:t>
      </w:r>
      <w:r>
        <w:br/>
        <w:t>• Arbitraje: Madrid, ley española</w:t>
      </w:r>
      <w:r>
        <w:br/>
        <w:t>• Coste: 2.500€ (abogado especializado)</w:t>
      </w:r>
      <w:r>
        <w:br/>
        <w:t>2. ACUERDO INVERSORES:</w:t>
      </w:r>
      <w:r>
        <w:br/>
        <w:t>• SAFE (Simple Agreement for Future Equity)</w:t>
      </w:r>
      <w:r>
        <w:br/>
        <w:t>• Valuation cap: 500.000€ pre-money</w:t>
      </w:r>
      <w:r>
        <w:br/>
        <w:t>• Discount: 20%</w:t>
      </w:r>
      <w:r>
        <w:br/>
        <w:t>• Coste: 1.500€ (modelo estándar)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