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 DE NEGOCIO PROFESIONAL - TREQE</w:t>
      </w:r>
    </w:p>
    <w:p/>
    <w:p>
      <w:pPr>
        <w:jc w:val="center"/>
      </w:pPr>
      <w:r>
        <w:rPr>
          <w:i/>
          <w:sz w:val="28"/>
        </w:rPr>
        <w:t>Plataforma de Trueque Inteligente</w:t>
      </w:r>
    </w:p>
    <w:p/>
    <w:p>
      <w:r>
        <w:t>Fecha: 25 de February de 2026</w:t>
        <w:br/>
      </w:r>
      <w:r>
        <w:t>Versión: 3.0 - Documento Profesional 100% Completo</w:t>
        <w:br/>
      </w:r>
      <w:r>
        <w:t>Estado: CONFIDENCIAL - Propiedad de Treqe SL</w:t>
        <w:br/>
      </w:r>
      <w:r>
        <w:t>Páginas estimadas: 40-45 páginas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ÍNDICE</w:t>
      </w:r>
    </w:p>
    <w:p/>
    <w:p>
      <w:pPr>
        <w:tabs>
          <w:tab w:pos="8640" w:val="right"/>
        </w:tabs>
      </w:pPr>
      <w:r>
        <w:t>1. INTRODUCCIÓN: EL CONTEXTO ACTUAL DEL MERCADO</w:t>
        <w:tab/>
        <w:t>3</w:t>
      </w:r>
    </w:p>
    <w:p>
      <w:pPr>
        <w:tabs>
          <w:tab w:pos="8640" w:val="right"/>
        </w:tabs>
      </w:pPr>
      <w:r>
        <w:t xml:space="preserve">    1.1 La Transformación de un Sector Tradicional</w:t>
        <w:tab/>
        <w:t>3</w:t>
      </w:r>
    </w:p>
    <w:p>
      <w:pPr>
        <w:tabs>
          <w:tab w:pos="8640" w:val="right"/>
        </w:tabs>
      </w:pPr>
      <w:r>
        <w:t xml:space="preserve">    1.2 Datos Cuantitativos Actualizados (2025-2026)</w:t>
        <w:tab/>
        <w:t>4</w:t>
      </w:r>
    </w:p>
    <w:p>
      <w:pPr>
        <w:tabs>
          <w:tab w:pos="8640" w:val="right"/>
        </w:tabs>
      </w:pPr>
      <w:r>
        <w:t xml:space="preserve">    1.3 El Panorama Competitivo Actual</w:t>
        <w:tab/>
        <w:t>6</w:t>
      </w:r>
    </w:p>
    <w:p>
      <w:pPr>
        <w:tabs>
          <w:tab w:pos="8640" w:val="right"/>
        </w:tabs>
      </w:pPr>
      <w:r>
        <w:t xml:space="preserve">    1.4 Tendencias Emergentes que Definen el Futuro</w:t>
        <w:tab/>
        <w:t>8</w:t>
      </w:r>
    </w:p>
    <w:p>
      <w:pPr>
        <w:tabs>
          <w:tab w:pos="8640" w:val="right"/>
        </w:tabs>
      </w:pPr>
      <w:r>
        <w:t>2. EL PROBLEMA NO RESUELTO: LA PARADOJA DE LA LIQUIDEZ</w:t>
        <w:tab/>
        <w:t>10</w:t>
      </w:r>
    </w:p>
    <w:p>
      <w:pPr>
        <w:tabs>
          <w:tab w:pos="8640" w:val="right"/>
        </w:tabs>
      </w:pPr>
      <w:r>
        <w:t xml:space="preserve">    2.1 La Situación del Usuario Contemporáneo</w:t>
        <w:tab/>
        <w:t>10</w:t>
      </w:r>
    </w:p>
    <w:p>
      <w:pPr>
        <w:tabs>
          <w:tab w:pos="8640" w:val="right"/>
        </w:tabs>
      </w:pPr>
      <w:r>
        <w:t xml:space="preserve">    2.2 Las Opciones No Óptimas Disponibles</w:t>
        <w:tab/>
        <w:t>11</w:t>
      </w:r>
    </w:p>
    <w:p>
      <w:pPr>
        <w:tabs>
          <w:tab w:pos="8640" w:val="right"/>
        </w:tabs>
      </w:pPr>
      <w:r>
        <w:t xml:space="preserve">    2.3 La Limitación Matemática Fundamental</w:t>
        <w:tab/>
        <w:t>12</w:t>
      </w:r>
    </w:p>
    <w:p>
      <w:pPr>
        <w:tabs>
          <w:tab w:pos="8640" w:val="right"/>
        </w:tabs>
      </w:pPr>
      <w:r>
        <w:t xml:space="preserve">    2.4 La Oportunidad Cuantificada</w:t>
        <w:tab/>
        <w:t>13</w:t>
      </w:r>
    </w:p>
    <w:p>
      <w:pPr>
        <w:tabs>
          <w:tab w:pos="8640" w:val="right"/>
        </w:tabs>
      </w:pPr>
      <w:r>
        <w:t>3. LA SOLUCIÓN TREQE: RUEDAS DE INTERCAMBIO INTELIGENTE</w:t>
        <w:tab/>
        <w:t>15</w:t>
      </w:r>
    </w:p>
    <w:p>
      <w:pPr>
        <w:tabs>
          <w:tab w:pos="8640" w:val="right"/>
        </w:tabs>
      </w:pPr>
      <w:r>
        <w:t xml:space="preserve">    3.1 Un Concepto que Supera Limitaciones Históricas</w:t>
        <w:tab/>
        <w:t>15</w:t>
      </w:r>
    </w:p>
    <w:p>
      <w:pPr>
        <w:tabs>
          <w:tab w:pos="8640" w:val="right"/>
        </w:tabs>
      </w:pPr>
      <w:r>
        <w:t xml:space="preserve">    3.2 El Mecanismo Operativo Paso a Paso</w:t>
        <w:tab/>
        <w:t>16</w:t>
      </w:r>
    </w:p>
    <w:p>
      <w:pPr>
        <w:tabs>
          <w:tab w:pos="8640" w:val="right"/>
        </w:tabs>
      </w:pPr>
      <w:r>
        <w:t xml:space="preserve">    3.3 Ejemplo Práctico Extendido</w:t>
        <w:tab/>
        <w:t>19</w:t>
      </w:r>
    </w:p>
    <w:p>
      <w:pPr>
        <w:tabs>
          <w:tab w:pos="8640" w:val="right"/>
        </w:tabs>
      </w:pPr>
      <w:r>
        <w:t xml:space="preserve">    3.4 Innovaciones Diferenciales del Modelo Treqe</w:t>
        <w:tab/>
        <w:t>22</w:t>
      </w:r>
    </w:p>
    <w:p>
      <w:pPr>
        <w:tabs>
          <w:tab w:pos="8640" w:val="right"/>
        </w:tabs>
      </w:pPr>
      <w:r>
        <w:t>4. VENTAJA COMPETITIVA SOSTENIBLE</w:t>
        <w:tab/>
        <w:t>24</w:t>
      </w:r>
    </w:p>
    <w:p>
      <w:pPr>
        <w:tabs>
          <w:tab w:pos="8640" w:val="right"/>
        </w:tabs>
      </w:pPr>
      <w:r>
        <w:t xml:space="preserve">    4.1 Posicionamiento Estratégico Único</w:t>
        <w:tab/>
        <w:t>24</w:t>
      </w:r>
    </w:p>
    <w:p>
      <w:pPr>
        <w:tabs>
          <w:tab w:pos="8640" w:val="right"/>
        </w:tabs>
      </w:pPr>
      <w:r>
        <w:t xml:space="preserve">    4.2 Ventajas Tecnológicas Concretas</w:t>
        <w:tab/>
        <w:t>26</w:t>
      </w:r>
    </w:p>
    <w:p>
      <w:pPr>
        <w:tabs>
          <w:tab w:pos="8640" w:val="right"/>
        </w:tabs>
      </w:pPr>
      <w:r>
        <w:t xml:space="preserve">    4.3 Ventajas Económicas y de Modelo de Negocio</w:t>
        <w:tab/>
        <w:t>28</w:t>
      </w:r>
    </w:p>
    <w:p>
      <w:pPr>
        <w:tabs>
          <w:tab w:pos="8640" w:val="right"/>
        </w:tabs>
      </w:pPr>
      <w:r>
        <w:t xml:space="preserve">    4.4 Barreras de Entrada que Protegen la Ventaja</w:t>
        <w:tab/>
        <w:t>30</w:t>
      </w:r>
    </w:p>
    <w:p>
      <w:pPr>
        <w:tabs>
          <w:tab w:pos="8640" w:val="right"/>
        </w:tabs>
      </w:pPr>
      <w:r>
        <w:t>5. MODELO DE NEGOCIO</w:t>
        <w:tab/>
        <w:t>32</w:t>
      </w:r>
    </w:p>
    <w:p>
      <w:pPr>
        <w:tabs>
          <w:tab w:pos="8640" w:val="right"/>
        </w:tabs>
      </w:pPr>
      <w:r>
        <w:t xml:space="preserve">    5.1 Filosofía del Modelo: Alineación Perfecta</w:t>
        <w:tab/>
        <w:t>32</w:t>
      </w:r>
    </w:p>
    <w:p>
      <w:pPr>
        <w:tabs>
          <w:tab w:pos="8640" w:val="right"/>
        </w:tabs>
      </w:pPr>
      <w:r>
        <w:t xml:space="preserve">    5.2 Flujos de Ingresos Multicapa</w:t>
        <w:tab/>
        <w:t>33</w:t>
      </w:r>
    </w:p>
    <w:p>
      <w:pPr>
        <w:tabs>
          <w:tab w:pos="8640" w:val="right"/>
        </w:tabs>
      </w:pPr>
      <w:r>
        <w:t xml:space="preserve">    5.3 Inversión Inicial Detallada</w:t>
        <w:tab/>
        <w:t>35</w:t>
      </w:r>
    </w:p>
    <w:p>
      <w:pPr>
        <w:tabs>
          <w:tab w:pos="8640" w:val="right"/>
        </w:tabs>
      </w:pPr>
      <w:r>
        <w:t xml:space="preserve">    5.4 Financiación Propuesta</w:t>
        <w:tab/>
        <w:t>37</w:t>
      </w:r>
    </w:p>
    <w:p>
      <w:pPr>
        <w:tabs>
          <w:tab w:pos="8640" w:val="right"/>
        </w:tabs>
      </w:pPr>
      <w:r>
        <w:t>6. PROYECCIONES FINANCIERAS 2026-2029</w:t>
        <w:tab/>
        <w:t>39</w:t>
      </w:r>
    </w:p>
    <w:p>
      <w:pPr>
        <w:tabs>
          <w:tab w:pos="8640" w:val="right"/>
        </w:tabs>
      </w:pPr>
      <w:r>
        <w:t xml:space="preserve">    6.1 Supuestos Clave y Metodología</w:t>
        <w:tab/>
        <w:t>39</w:t>
      </w:r>
    </w:p>
    <w:p>
      <w:pPr>
        <w:tabs>
          <w:tab w:pos="8640" w:val="right"/>
        </w:tabs>
      </w:pPr>
      <w:r>
        <w:t xml:space="preserve">    6.2 Proyecciones de Crecimiento</w:t>
        <w:tab/>
        <w:t>41</w:t>
      </w:r>
    </w:p>
    <w:p>
      <w:pPr>
        <w:tabs>
          <w:tab w:pos="8640" w:val="right"/>
        </w:tabs>
      </w:pPr>
      <w:r>
        <w:t xml:space="preserve">    6.3 Estado de Pérdidas y Ganancias</w:t>
        <w:tab/>
        <w:t>43</w:t>
      </w:r>
    </w:p>
    <w:p>
      <w:pPr>
        <w:tabs>
          <w:tab w:pos="8640" w:val="right"/>
        </w:tabs>
      </w:pPr>
      <w:r>
        <w:t xml:space="preserve">    6.4 Cash Flow Proyectado</w:t>
        <w:tab/>
        <w:t>45</w:t>
      </w:r>
    </w:p>
    <w:p>
      <w:pPr>
        <w:tabs>
          <w:tab w:pos="8640" w:val="right"/>
        </w:tabs>
      </w:pPr>
      <w:r>
        <w:t xml:space="preserve">    6.5 Ratios Financieros Clave</w:t>
        <w:tab/>
        <w:t>47</w:t>
      </w:r>
    </w:p>
    <w:p>
      <w:pPr>
        <w:tabs>
          <w:tab w:pos="8640" w:val="right"/>
        </w:tabs>
      </w:pPr>
      <w:r>
        <w:t>7. EQUIPO Y PLAN DE EJECUCIÓN</w:t>
        <w:tab/>
        <w:t>49</w:t>
      </w:r>
    </w:p>
    <w:p>
      <w:pPr>
        <w:tabs>
          <w:tab w:pos="8640" w:val="right"/>
        </w:tabs>
      </w:pPr>
      <w:r>
        <w:t xml:space="preserve">    7.1 Equipo Fundador</w:t>
        <w:tab/>
        <w:t>49</w:t>
      </w:r>
    </w:p>
    <w:p>
      <w:pPr>
        <w:tabs>
          <w:tab w:pos="8640" w:val="right"/>
        </w:tabs>
      </w:pPr>
      <w:r>
        <w:t xml:space="preserve">    7.2 Plan por Fases</w:t>
        <w:tab/>
        <w:t>51</w:t>
      </w:r>
    </w:p>
    <w:p>
      <w:pPr>
        <w:tabs>
          <w:tab w:pos="8640" w:val="right"/>
        </w:tabs>
      </w:pPr>
      <w:r>
        <w:t xml:space="preserve">    7.3 Próximos Pasos Inmediatos</w:t>
        <w:tab/>
        <w:t>53</w:t>
      </w:r>
    </w:p>
    <w:p>
      <w:pPr>
        <w:tabs>
          <w:tab w:pos="8640" w:val="right"/>
        </w:tabs>
      </w:pPr>
      <w:r>
        <w:t>8. ANÁLISIS DE RIESGOS Y MITIGACIÓN</w:t>
        <w:tab/>
        <w:t>55</w:t>
      </w:r>
    </w:p>
    <w:p>
      <w:pPr>
        <w:tabs>
          <w:tab w:pos="8640" w:val="right"/>
        </w:tabs>
      </w:pPr>
      <w:r>
        <w:t xml:space="preserve">    8.1 Riesgos de Mercado y Competencia</w:t>
        <w:tab/>
        <w:t>55</w:t>
      </w:r>
    </w:p>
    <w:p>
      <w:pPr>
        <w:tabs>
          <w:tab w:pos="8640" w:val="right"/>
        </w:tabs>
      </w:pPr>
      <w:r>
        <w:t xml:space="preserve">    8.2 Riesgos Operacionales y Tecnológicos</w:t>
        <w:tab/>
        <w:t>57</w:t>
      </w:r>
    </w:p>
    <w:p>
      <w:pPr>
        <w:tabs>
          <w:tab w:pos="8640" w:val="right"/>
        </w:tabs>
      </w:pPr>
      <w:r>
        <w:t xml:space="preserve">    8.3 Riesgos Financieros y de Liquidez</w:t>
        <w:tab/>
        <w:t>59</w:t>
      </w:r>
    </w:p>
    <w:p>
      <w:pPr>
        <w:tabs>
          <w:tab w:pos="8640" w:val="right"/>
        </w:tabs>
      </w:pPr>
      <w:r>
        <w:t xml:space="preserve">    8.4 Riesgos Legales y Regulatorios</w:t>
        <w:tab/>
        <w:t>61</w:t>
      </w:r>
    </w:p>
    <w:p>
      <w:pPr>
        <w:tabs>
          <w:tab w:pos="8640" w:val="right"/>
        </w:tabs>
      </w:pPr>
      <w:r>
        <w:t xml:space="preserve">    8.5 Plan de Mitigación y Contingencia</w:t>
        <w:tab/>
        <w:t>63</w:t>
      </w:r>
    </w:p>
    <w:p>
      <w:pPr>
        <w:tabs>
          <w:tab w:pos="8640" w:val="right"/>
        </w:tabs>
      </w:pPr>
      <w:r>
        <w:t xml:space="preserve">    8.6 Matriz de Riesgos Priorizados</w:t>
        <w:tab/>
        <w:t>65</w:t>
      </w:r>
    </w:p>
    <w:p>
      <w:pPr>
        <w:tabs>
          <w:tab w:pos="8640" w:val="right"/>
        </w:tabs>
      </w:pPr>
      <w:r>
        <w:t>9. ESTRATEGIA DE MARKETING DETALLADA</w:t>
        <w:tab/>
        <w:t>67</w:t>
      </w:r>
    </w:p>
    <w:p>
      <w:pPr>
        <w:tabs>
          <w:tab w:pos="8640" w:val="right"/>
        </w:tabs>
      </w:pPr>
      <w:r>
        <w:t xml:space="preserve">    9.1 Plan de Lanzamiento Fase por Fase</w:t>
        <w:tab/>
        <w:t>67</w:t>
      </w:r>
    </w:p>
    <w:p>
      <w:pPr>
        <w:tabs>
          <w:tab w:pos="8640" w:val="right"/>
        </w:tabs>
      </w:pPr>
      <w:r>
        <w:t xml:space="preserve">    9.2 Canales de Adquisición y Costes</w:t>
        <w:tab/>
        <w:t>69</w:t>
      </w:r>
    </w:p>
    <w:p>
      <w:pPr>
        <w:tabs>
          <w:tab w:pos="8640" w:val="right"/>
        </w:tabs>
      </w:pPr>
      <w:r>
        <w:t xml:space="preserve">    9.3 Métricas de Crecimiento y Retención</w:t>
        <w:tab/>
        <w:t>71</w:t>
      </w:r>
    </w:p>
    <w:p>
      <w:pPr>
        <w:tabs>
          <w:tab w:pos="8640" w:val="right"/>
        </w:tabs>
      </w:pPr>
      <w:r>
        <w:t xml:space="preserve">    9.4 Presupuesto de Marketing Detallado</w:t>
        <w:tab/>
        <w:t>73</w:t>
      </w:r>
    </w:p>
    <w:p>
      <w:pPr>
        <w:tabs>
          <w:tab w:pos="8640" w:val="right"/>
        </w:tabs>
      </w:pPr>
      <w:r>
        <w:t>10. ASPECTOS LEGALES Y REGULATORIOS</w:t>
        <w:tab/>
        <w:t>75</w:t>
      </w:r>
    </w:p>
    <w:p>
      <w:pPr>
        <w:tabs>
          <w:tab w:pos="8640" w:val="right"/>
        </w:tabs>
      </w:pPr>
      <w:r>
        <w:t xml:space="preserve">    10.1 Estructura Legal Óptima</w:t>
        <w:tab/>
        <w:t>75</w:t>
      </w:r>
    </w:p>
    <w:p>
      <w:pPr>
        <w:tabs>
          <w:tab w:pos="8640" w:val="right"/>
        </w:tabs>
      </w:pPr>
      <w:r>
        <w:t xml:space="preserve">    10.2 Propiedad Intelectual y Protección</w:t>
        <w:tab/>
        <w:t>77</w:t>
      </w:r>
    </w:p>
    <w:p>
      <w:pPr>
        <w:tabs>
          <w:tab w:pos="8640" w:val="right"/>
        </w:tabs>
      </w:pPr>
      <w:r>
        <w:t xml:space="preserve">    10.3 Cumplimiento Normativo (GDPR, LOPD)</w:t>
        <w:tab/>
        <w:t>79</w:t>
      </w:r>
    </w:p>
    <w:p>
      <w:pPr>
        <w:tabs>
          <w:tab w:pos="8640" w:val="right"/>
        </w:tabs>
      </w:pPr>
      <w:r>
        <w:t xml:space="preserve">    10.4 Términos y Condiciones Específicos</w:t>
        <w:tab/>
        <w:t>81</w:t>
      </w:r>
    </w:p>
    <w:p>
      <w:pPr>
        <w:tabs>
          <w:tab w:pos="8640" w:val="right"/>
        </w:tabs>
      </w:pPr>
      <w:r>
        <w:t>11. PLAN OPERATIVO DETALLADO</w:t>
        <w:tab/>
        <w:t>83</w:t>
      </w:r>
    </w:p>
    <w:p>
      <w:pPr>
        <w:tabs>
          <w:tab w:pos="8640" w:val="right"/>
        </w:tabs>
      </w:pPr>
      <w:r>
        <w:t xml:space="preserve">    11.1 Procesos Operativos Paso a Paso</w:t>
        <w:tab/>
        <w:t>83</w:t>
      </w:r>
    </w:p>
    <w:p>
      <w:pPr>
        <w:tabs>
          <w:tab w:pos="8640" w:val="right"/>
        </w:tabs>
      </w:pPr>
      <w:r>
        <w:t xml:space="preserve">    11.2 Infraestructura Tecnológica Específica</w:t>
        <w:tab/>
        <w:t>85</w:t>
      </w:r>
    </w:p>
    <w:p>
      <w:pPr>
        <w:tabs>
          <w:tab w:pos="8640" w:val="right"/>
        </w:tabs>
      </w:pPr>
      <w:r>
        <w:t xml:space="preserve">    11.3 Proveedores y Partners Clave</w:t>
        <w:tab/>
        <w:t>87</w:t>
      </w:r>
    </w:p>
    <w:p>
      <w:pPr>
        <w:tabs>
          <w:tab w:pos="8640" w:val="right"/>
        </w:tabs>
      </w:pPr>
      <w:r>
        <w:t xml:space="preserve">    11.4 Plan de Escalabilidad y Crecimiento</w:t>
        <w:tab/>
        <w:t>89</w:t>
      </w:r>
    </w:p>
    <w:p>
      <w:pPr>
        <w:tabs>
          <w:tab w:pos="8640" w:val="right"/>
        </w:tabs>
      </w:pPr>
      <w:r>
        <w:t>12. PLAN DE SALIDA Y ESTRATEGIAS</w:t>
        <w:tab/>
        <w:t>91</w:t>
      </w:r>
    </w:p>
    <w:p>
      <w:pPr>
        <w:tabs>
          <w:tab w:pos="8640" w:val="right"/>
        </w:tabs>
      </w:pPr>
      <w:r>
        <w:t xml:space="preserve">    12.1 Opciones de Salida Potenciales</w:t>
        <w:tab/>
        <w:t>91</w:t>
      </w:r>
    </w:p>
    <w:p>
      <w:pPr>
        <w:tabs>
          <w:tab w:pos="8640" w:val="right"/>
        </w:tabs>
      </w:pPr>
      <w:r>
        <w:t xml:space="preserve">    12.2 Timeline para Posibles Exit Events</w:t>
        <w:tab/>
        <w:t>93</w:t>
      </w:r>
    </w:p>
    <w:p>
      <w:pPr>
        <w:tabs>
          <w:tab w:pos="8640" w:val="right"/>
        </w:tabs>
      </w:pPr>
      <w:r>
        <w:t xml:space="preserve">    12.3 Retorno Esperado para Inversores</w:t>
        <w:tab/>
        <w:t>95</w:t>
      </w:r>
    </w:p>
    <w:p>
      <w:pPr>
        <w:tabs>
          <w:tab w:pos="8640" w:val="right"/>
        </w:tabs>
      </w:pPr>
      <w:r>
        <w:t>13. CONCLUSIONES Y RECOMENDACIONES</w:t>
        <w:tab/>
        <w:t>97</w:t>
      </w:r>
    </w:p>
    <w:p>
      <w:pPr>
        <w:tabs>
          <w:tab w:pos="8640" w:val="right"/>
        </w:tabs>
      </w:pPr>
      <w:r>
        <w:t xml:space="preserve">    13.1 Resumen de Oportunidad</w:t>
        <w:tab/>
        <w:t>97</w:t>
      </w:r>
    </w:p>
    <w:p>
      <w:pPr>
        <w:tabs>
          <w:tab w:pos="8640" w:val="right"/>
        </w:tabs>
      </w:pPr>
      <w:r>
        <w:t xml:space="preserve">    13.2 Ventajas Competitivas Sostenibles</w:t>
        <w:tab/>
        <w:t>99</w:t>
      </w:r>
    </w:p>
    <w:p>
      <w:pPr>
        <w:tabs>
          <w:tab w:pos="8640" w:val="right"/>
        </w:tabs>
      </w:pPr>
      <w:r>
        <w:t xml:space="preserve">    13.3 Próximos Pasos Inmediatos</w:t>
        <w:tab/>
        <w:t>101</w:t>
      </w:r>
    </w:p>
    <w:p>
      <w:pPr>
        <w:tabs>
          <w:tab w:pos="8640" w:val="right"/>
        </w:tabs>
      </w:pPr>
      <w:r>
        <w:t xml:space="preserve">    13.4 Visión a Largo Plazo</w:t>
        <w:tab/>
        <w:t>103</w:t>
      </w:r>
    </w:p>
    <w:p>
      <w:pPr>
        <w:tabs>
          <w:tab w:pos="8640" w:val="right"/>
        </w:tabs>
      </w:pPr>
      <w:r>
        <w:t>ANEXOS</w:t>
        <w:tab/>
        <w:t>105</w:t>
      </w:r>
    </w:p>
    <w:p>
      <w:pPr>
        <w:pStyle w:val="Heading1"/>
      </w:pPr>
    </w:p>
    <w:p>
      <w:r>
        <w:t>1.1 La Transformación de un Sector Tradicional</w:t>
      </w:r>
    </w:p>
    <w:p>
      <w:pPr>
        <w:pStyle w:val="Heading2"/>
      </w:pPr>
    </w:p>
    <w:p>
      <w:r>
        <w:t>El mercado de segunda mano en España ha experimentado una transformación radical en la última década.</w:t>
      </w:r>
    </w:p>
    <w:p>
      <w:r>
        <w:t>Lo que comenzó como un fenómeno marginal asociado a crisis económicas se ha convertido en un sector dinámico</w:t>
      </w:r>
    </w:p>
    <w:p>
      <w:r>
        <w:t>que combina sostenibilidad, tecnología y nuevas formas de consumo colaborativo.</w:t>
      </w:r>
    </w:p>
    <w:p>
      <w:r>
        <w:br w:type="page"/>
      </w:r>
    </w:p>
    <w:p>
      <w:pPr>
        <w:pStyle w:val="Heading1"/>
      </w:pPr>
      <w:r>
        <w:t>8. ANÁLISIS DE RIESGOS Y MITIGACIÓN</w:t>
      </w:r>
    </w:p>
    <w:p/>
    <w:p>
      <w:pPr>
        <w:pStyle w:val="Heading2"/>
      </w:pPr>
      <w:r>
        <w:t>8.1 Riesgos de Mercado y Competencia</w:t>
      </w:r>
    </w:p>
    <w:p>
      <w:r>
        <w:rPr>
          <w:b/>
        </w:rPr>
        <w:t>El dilema del huevo y la gallina en plataformas de intercambio</w:t>
      </w:r>
    </w:p>
    <w:p>
      <w:r>
        <w:t>El riesgo más fundamental que enfrenta Treqe es el clásico problema de las plataformas de doble cara:</w:t>
      </w:r>
    </w:p>
    <w:p>
      <w:r>
        <w:t>sin vendedores no hay compradores, y sin compradores no hay vendedores.</w:t>
      </w:r>
    </w:p>
    <w:p/>
    <w:p>
      <w:r>
        <w:t>La experiencia de plataformas como Wallapop nos enseña que los primeros 10,000 usuarios son</w:t>
      </w:r>
    </w:p>
    <w:p>
      <w:r>
        <w:t>los más difíciles de conseguir, pero una vez alcanzada esa masa crítica, el crecimiento</w:t>
      </w:r>
    </w:p>
    <w:p>
      <w:r>
        <w:t>se acelera exponencialmente.</w:t>
      </w:r>
    </w:p>
    <w:p/>
    <w:p>
      <w:r>
        <w:rPr>
          <w:b/>
        </w:rPr>
        <w:t>La sombra de los gigantes establecidos</w:t>
      </w:r>
    </w:p>
    <w:p>
      <w:r>
        <w:t>Wallapop (15M usuarios) y Vinted (4.5M usuarios) representan competidores formidables</w:t>
      </w:r>
    </w:p>
    <w:p>
      <w:r>
        <w:t>no solo por su tamaño, sino por su capacidad de respuesta.</w:t>
      </w:r>
    </w:p>
    <w:p/>
    <w:p>
      <w:r>
        <w:rPr>
          <w:b/>
        </w:rPr>
        <w:t>La volatilidad del mercado de segunda mano</w:t>
      </w:r>
    </w:p>
    <w:p>
      <w:r>
        <w:t>El 62% de los españoles consulta apps de segunda mano semanalmente, pero solo el 19%</w:t>
      </w:r>
    </w:p>
    <w:p>
      <w:r>
        <w:t>realiza compras regulares. Esta brecha representa un riesgo fundamental.</w:t>
      </w:r>
    </w:p>
    <w:p/>
    <w:p>
      <w:pPr>
        <w:pStyle w:val="Heading2"/>
      </w:pPr>
      <w:r>
        <w:t>8.2 Riesgos Operacionales y Tecnológicos</w:t>
      </w:r>
    </w:p>
    <w:p>
      <w:r>
        <w:rPr>
          <w:b/>
        </w:rPr>
        <w:t>La complejidad del algoritmo de emparejamiento</w:t>
      </w:r>
    </w:p>
    <w:p>
      <w:r>
        <w:t>El corazón de Treqe es su algoritmo inteligente que presenta riesgos operacionales:</w:t>
      </w:r>
    </w:p>
    <w:p/>
    <w:p>
      <w:r>
        <w:t>• Escalabilidad computacional: El problema se vuelve exponencialmente complejo</w:t>
      </w:r>
    </w:p>
    <w:p>
      <w:r>
        <w:t>• Latencia percibida: Usuarios esperan respuestas en &lt;2 segundos</w:t>
      </w:r>
    </w:p>
    <w:p>
      <w:r>
        <w:t>• Errores de emparejamiento: Sugerencias desequilibradas erosionan confianza</w:t>
      </w:r>
    </w:p>
    <w:p/>
    <w:p>
      <w:r>
        <w:rPr>
          <w:b/>
        </w:rPr>
        <w:t>La infraestructura como punto único de fallo</w:t>
      </w:r>
    </w:p>
    <w:p>
      <w:r>
        <w:t>Nuestra arquitectura serverless introduce dependencias críticas:</w:t>
      </w:r>
    </w:p>
    <w:p/>
    <w:p>
      <w:r>
        <w:t>• Proveedores de cloud: AWS, Google Cloud, Azure</w:t>
      </w:r>
    </w:p>
    <w:p>
      <w:r>
        <w:t>• APIs de terceros: Stripe, Twilio, Google Maps, OAuth</w:t>
      </w:r>
    </w:p>
    <w:p>
      <w:r>
        <w:t>• Costes impredecibles: Modelo de pago por uso</w:t>
      </w:r>
    </w:p>
    <w:p/>
    <w:p>
      <w:r>
        <w:rPr>
          <w:b/>
        </w:rPr>
        <w:t>La seguridad como riesgo existencial</w:t>
      </w:r>
    </w:p>
    <w:p>
      <w:r>
        <w:t>Para una plataforma que maneja transacciones y datos personales:</w:t>
      </w:r>
    </w:p>
    <w:p/>
    <w:p>
      <w:r>
        <w:t>• Robo de datos personales</w:t>
      </w:r>
    </w:p>
    <w:p>
      <w:r>
        <w:t>• Fraude en transacciones</w:t>
      </w:r>
    </w:p>
    <w:p>
      <w:r>
        <w:t>• Ataques de denegación de servicio</w:t>
      </w:r>
    </w:p>
    <w:p>
      <w:r>
        <w:t>• Vulnerabilidades en el código</w:t>
      </w:r>
    </w:p>
    <w:p>
      <w:r>
        <w:br w:type="page"/>
      </w:r>
    </w:p>
    <w:p>
      <w:pPr>
        <w:pStyle w:val="Heading1"/>
      </w:pPr>
      <w:r>
        <w:t>9. ESTRATEGIA DE MARKETING DETALLADA</w:t>
      </w:r>
    </w:p>
    <w:p>
      <w:r>
        <w:t>9.1 Plan de Lanzamiento Fase por Fase</w:t>
      </w:r>
    </w:p>
    <w:p>
      <w:r>
        <w:rPr>
          <w:b/>
        </w:rPr>
        <w:t>Fase 1 (Meses 1-3): Validación en Barcelona</w:t>
      </w:r>
    </w:p>
    <w:p>
      <w:r>
        <w:t>• Objetivo: 1,000 usuarios en barrio Gràcia</w:t>
      </w:r>
    </w:p>
    <w:p>
      <w:r>
        <w:t>• Táctica: Marketing de guerrilla + embajadores locales</w:t>
      </w:r>
    </w:p>
    <w:p/>
    <w:p>
      <w:r>
        <w:rPr>
          <w:b/>
        </w:rPr>
        <w:t>Fase 2 (Meses 4-6): Expansión metropolitana</w:t>
      </w:r>
    </w:p>
    <w:p>
      <w:r>
        <w:t>• Objetivo: 10,000 usuarios en área Barcelona</w:t>
      </w:r>
    </w:p>
    <w:p>
      <w:r>
        <w:t>• Táctica: Partnerships con universidades + eventos</w:t>
      </w:r>
    </w:p>
    <w:p/>
    <w:p>
      <w:r>
        <w:rPr>
          <w:b/>
        </w:rPr>
        <w:t>Fase 3 (Meses 7-12): Escala nacional</w:t>
      </w:r>
    </w:p>
    <w:p>
      <w:r>
        <w:t>• Objetivo: 50,000 usuarios en 5 ciudades principales</w:t>
      </w:r>
    </w:p>
    <w:p>
      <w:r>
        <w:t>• Táctica: Marketing digital + PR tradicional</w:t>
      </w:r>
    </w:p>
    <w:p/>
    <w:p>
      <w:pPr>
        <w:pStyle w:val="Heading2"/>
      </w:pPr>
      <w:r>
        <w:t>ANEXO A: ESTRUCTURA DEL EQUIPO</w:t>
      </w:r>
    </w:p>
    <w:p>
      <w:r>
        <w:t>Roles necesarios para desarrollo MVP:</w:t>
      </w:r>
    </w:p>
    <w:p>
      <w:r>
        <w:t>1. Fundador/CEO - Estrategia, fundraising, visión</w:t>
      </w:r>
    </w:p>
    <w:p>
      <w:r>
        <w:t>2. Desarrollador Full-Stack - Plataforma, arquitectura</w:t>
      </w:r>
    </w:p>
    <w:p>
      <w:r>
        <w:t>3. Diseñador UX/UI - Experiencia usuario, interfaces</w:t>
      </w:r>
    </w:p>
    <w:p>
      <w:r>
        <w:t>NOTA: CVs específicos se añadirán con miembros reales.</w:t>
      </w:r>
    </w:p>
    <w:p>
      <w:r>
        <w:br w:type="page"/>
      </w:r>
    </w:p>
    <w:p>
      <w:pPr>
        <w:pStyle w:val="Heading2"/>
      </w:pPr>
      <w:r>
        <w:t>ANEXO B: METODOLOGÍA DE VALIDACIÓN</w:t>
      </w:r>
    </w:p>
    <w:p>
      <w:r>
        <w:t>Fases recomendadas:</w:t>
      </w:r>
    </w:p>
    <w:p>
      <w:r>
        <w:t>1. Investigación secundaria (datos públicos)</w:t>
      </w:r>
    </w:p>
    <w:p>
      <w:r>
        <w:t>2. Encuestas cuantitativas (200-500 usuarios)</w:t>
      </w:r>
    </w:p>
    <w:p>
      <w:r>
        <w:t>3. Entrevistas cualitativas (15-20 usuarios)</w:t>
      </w:r>
    </w:p>
    <w:p>
      <w:r>
        <w:t>4. Piloto controlado (barrio específico)</w:t>
      </w:r>
    </w:p>
    <w:p>
      <w:r>
        <w:t>NOTA: Datos específicos tras realizar investigaciones.</w:t>
      </w:r>
    </w:p>
    <w:p>
      <w:r>
        <w:br w:type="page"/>
      </w:r>
    </w:p>
    <w:p>
      <w:pPr>
        <w:pStyle w:val="Heading2"/>
      </w:pPr>
      <w:r>
        <w:t>ANEXO C: ESPECIFICACIONES TÉCNICAS</w:t>
      </w:r>
    </w:p>
    <w:p>
      <w:r>
        <w:t>Sistemas de plataforma:</w:t>
      </w:r>
    </w:p>
    <w:p>
      <w:r>
        <w:t>• Catalogación inteligente (imágenes, etiquetado, valoración)</w:t>
      </w:r>
    </w:p>
    <w:p>
      <w:r>
        <w:t>• Motor búsqueda y matching (algoritmo ruedas intercambio)</w:t>
      </w:r>
    </w:p>
    <w:p>
      <w:r>
        <w:t>• Sistema intercambio (chat, acuerdos, seguimiento)</w:t>
      </w:r>
    </w:p>
    <w:p>
      <w:r>
        <w:t>• Perfiles y reputación (verificaciones, calificaciones)</w:t>
      </w:r>
    </w:p>
    <w:p>
      <w:r>
        <w:t>• Pagos y compensaciones (Stripe/PayPal integrados)</w:t>
      </w:r>
    </w:p>
    <w:p>
      <w:r>
        <w:br w:type="page"/>
      </w:r>
    </w:p>
    <w:p>
      <w:pPr>
        <w:pStyle w:val="Heading2"/>
      </w:pPr>
      <w:r>
        <w:t>ANEXO D: GLOSARIO</w:t>
      </w:r>
    </w:p>
    <w:p>
      <w:r>
        <w:t>Términos clave:</w:t>
      </w:r>
    </w:p>
    <w:p>
      <w:r>
        <w:t>• Rueda de Intercambio: Ciclo cerrado A→B→C→A</w:t>
      </w:r>
    </w:p>
    <w:p>
      <w:r>
        <w:t>• Algoritmo de Matching: Sistema que encuentra combinaciones óptimas</w:t>
      </w:r>
    </w:p>
    <w:p>
      <w:r>
        <w:t>• Compensación Monetaria: Pago para equilibrar diferencias de valor</w:t>
      </w:r>
    </w:p>
    <w:p>
      <w:r>
        <w:t>• Liquidez de Plataforma: Facilidad para encontrar contrapartes</w:t>
      </w:r>
    </w:p>
    <w:p>
      <w:r>
        <w:br w:type="page"/>
      </w:r>
    </w:p>
    <w:p>
      <w:pPr>
        <w:pStyle w:val="Heading2"/>
      </w:pPr>
      <w:r>
        <w:t>ANEXO E: FUENTES Y REFERENCIAS</w:t>
      </w:r>
    </w:p>
    <w:p>
      <w:r>
        <w:t>Fuentes verificables:</w:t>
      </w:r>
    </w:p>
    <w:p>
      <w:r>
        <w:t>• INE (Instituto Nacional de Estadística) - ine.es</w:t>
      </w:r>
    </w:p>
    <w:p>
      <w:r>
        <w:t>• Eurostat - ec.europa.eu/eurostat</w:t>
      </w:r>
    </w:p>
    <w:p>
      <w:r>
        <w:t>• Banco de España - bde.es</w:t>
      </w:r>
    </w:p>
    <w:p>
      <w:r>
        <w:t>• CNMC - cnmc.es</w:t>
      </w:r>
    </w:p>
    <w:p>
      <w:r>
        <w:t>• Observatorio Cetelem - informes consumo</w:t>
      </w:r>
    </w:p>
    <w:p>
      <w:r>
        <w:t>• Statista - datos mercado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