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rPr>
          <w:b/>
        </w:rPr>
        <w:t>3. LA SOLUCIÓN TREQE: RUEDAS DE INTERCAMBIO INTELIGENTE</w:t>
      </w:r>
      <w:r>
        <w:tab/>
        <w:t>15</w:t>
      </w:r>
    </w:p>
    <w:p>
      <w:r>
        <w:t xml:space="preserve">   3.1 Un Concepto que Supera Limitaciones Históricas</w:t>
      </w:r>
      <w:r>
        <w:tab/>
        <w:t>15</w:t>
      </w:r>
    </w:p>
    <w:p>
      <w:r>
        <w:t xml:space="preserve">   3.2 El Mecanismo Operativo Paso a Paso</w:t>
      </w:r>
      <w:r>
        <w:tab/>
        <w:t>16</w:t>
      </w:r>
    </w:p>
    <w:p>
      <w:r>
        <w:t xml:space="preserve">   3.3 Ejemplo Práctico Extendido</w:t>
      </w:r>
      <w:r>
        <w:tab/>
        <w:t>19</w:t>
      </w:r>
    </w:p>
    <w:p>
      <w:r>
        <w:t xml:space="preserve">   3.4 Innovaciones Diferenciales del Modelo Treqe</w:t>
      </w:r>
      <w:r>
        <w:tab/>
        <w:t>22</w:t>
      </w:r>
    </w:p>
    <w:p>
      <w:r>
        <w:rPr>
          <w:b/>
        </w:rPr>
        <w:t>4. VENTAJA COMPETITIVA SOSTENIBLE</w:t>
      </w:r>
      <w:r>
        <w:tab/>
        <w:t>24</w:t>
      </w:r>
    </w:p>
    <w:p>
      <w:r>
        <w:t xml:space="preserve">   4.1 Posicionamiento Estratégico Único</w:t>
      </w:r>
      <w:r>
        <w:tab/>
        <w:t>24</w:t>
      </w:r>
    </w:p>
    <w:p>
      <w:r>
        <w:t xml:space="preserve">   4.2 Ventajas Tecnológicas Concretas</w:t>
      </w:r>
      <w:r>
        <w:tab/>
        <w:t>26</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rPr>
          <w:b/>
        </w:rPr>
        <w:t>9. CONCLUSIONES Y RECOMENDACIONES</w:t>
      </w:r>
      <w:r>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