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PROFESIONAL TREQE</w:t>
      </w:r>
    </w:p>
    <w:p>
      <w:pPr>
        <w:pStyle w:val="Heading1"/>
      </w:pPr>
      <w:r>
        <w:t>1. INTRODUCCIÓN</w:t>
      </w:r>
    </w:p>
    <w:p>
      <w:r>
        <w:t>Mercado segunda mano España 2026: 8.200M€, 28M usuarios. Transformación cultural hacia sostenibilidad y consumo consciente.</w:t>
      </w:r>
    </w:p>
    <w:p>
      <w:pPr>
        <w:pStyle w:val="Heading1"/>
      </w:pPr>
      <w:r>
        <w:t>2. PROBLEMA: PARADOJA LIQUIDEZ</w:t>
      </w:r>
    </w:p>
    <w:p>
      <w:r>
        <w:t>Valor atrapado en posesiones no deseadas. Ejemplo Ana: 1.500€ atrapados, necesita 2.000€. Opciones actuales: mantener (pérdida espacio), vender por menos (pérdida 30-50%), trueque directo (5% probabilidad).</w:t>
      </w:r>
    </w:p>
    <w:p>
      <w:pPr>
        <w:pStyle w:val="Heading1"/>
      </w:pPr>
      <w:r>
        <w:t>3. SOLUCIÓN TREQE</w:t>
      </w:r>
    </w:p>
    <w:p>
      <w:r>
        <w:t>Ruedas intercambio inteligente. Algoritmo encuentra ciclos entre 3+ usuarios. Ejemplo real: Carlos (bicicleta→consola), Beatriz (consola→sofá), David (sofá→ordenador), Elena (ordenador→bicicleta). Solución: ciclo perfecto. Valor intercambiado: 2.000€. Comisión: 60€ (3%).</w:t>
      </w:r>
    </w:p>
    <w:p>
      <w:pPr>
        <w:pStyle w:val="Heading1"/>
      </w:pPr>
      <w:r>
        <w:t>4. VENTAJA COMPETITIVA</w:t>
      </w:r>
    </w:p>
    <w:p>
      <w:r>
        <w:t>Espacio vacante: trueque estructurado. Competidores: compraventa monetaria. Ventajas: algoritmo patentable (resuelve NP-Completo), sistema reputación blockchain, modelo alineado (solo ganamos si usuarios ganan).</w:t>
      </w:r>
    </w:p>
    <w:p>
      <w:pPr>
        <w:pStyle w:val="Heading1"/>
      </w:pPr>
      <w:r>
        <w:t>5. MODELO NEGOCIO</w:t>
      </w:r>
    </w:p>
    <w:p>
      <w:r>
        <w:t>Comisión 3% solo si éxito. Suscripción Premium 9,99€/mes. Servicios empresas. Inversión inicial: 58.000€ (23.200€ desarrollo, 20.300€ marketing, 14.500€ operaciones).</w:t>
      </w:r>
    </w:p>
    <w:p>
      <w:pPr>
        <w:pStyle w:val="Heading1"/>
      </w:pPr>
      <w:r>
        <w:t>6. FINANZAS 2026-2029</w:t>
      </w:r>
    </w:p>
    <w:p>
      <w:r>
        <w:t>2026: 50.000 usuarios, 360.000€ ingresos, 84.000€ beneficio. 2027: 150.000 usuarios, 1.728.000€ ingresos. 2028: 350.000 usuarios, 5.040.000€ ingresos. 2029: 750.000 usuarios, 12.960.000€ ingresos.</w:t>
      </w:r>
    </w:p>
    <w:p>
      <w:pPr>
        <w:pStyle w:val="Heading1"/>
      </w:pPr>
      <w:r>
        <w:t>7. EQUIPO Y EJECUCIÓN</w:t>
      </w:r>
    </w:p>
    <w:p>
      <w:r>
        <w:t>CEO: experiencia scale-ups. CTO: PhD algoritmos. CMO: crecimiento orgánico. Fases: MVP (3 meses, 100 usuarios), Madrid (9 meses), Nacional (18 meses, 5 ciudades).</w:t>
      </w:r>
    </w:p>
    <w:p>
      <w:pPr>
        <w:pStyle w:val="Heading1"/>
      </w:pPr>
      <w:r>
        <w:t>8. RIESGOS</w:t>
      </w:r>
    </w:p>
    <w:p>
      <w:r>
        <w:t>Huevo-gallina: comunidad cerrada inicial. Fallo algoritmo: testing + backup manual. Fraudes: sistema reputación + garantía. Competencia: patentes + first-mover. Legales: asesoría proactiva. Escalabilidad: arquitectura serverless.</w:t>
      </w:r>
    </w:p>
    <w:p>
      <w:pPr>
        <w:pStyle w:val="Heading1"/>
      </w:pPr>
      <w:r>
        <w:t>9. CONCLUSIONES</w:t>
      </w:r>
    </w:p>
    <w:p>
      <w:r>
        <w:t>Treqe resuelve problema real no atendido. Ocupa espacio mercado vacante. Modelo económicamente viable. Ventajas competitivas sostenibles. Equipo experimentado. Plan ejecución realista. Riesgos identificados y mitigados. Recomendación: inversión 58.000€ para MVP. Retorno esperado: 5-7x en 3 años.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