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20" w:before="0"/>
        <w:jc w:val="center"/>
      </w:pPr>
      <w:r>
        <w:rPr>
          <w:rFonts w:ascii="Arial" w:cs="Arial" w:eastAsia="Arial" w:hAnsi="Arial"/>
          <w:b/>
          <w:bCs/>
          <w:color w:val="2E4057"/>
          <w:sz w:val="40"/>
          <w:szCs w:val="40"/>
        </w:rPr>
        <w:t xml:space="preserve">Your Agent is Underperforming:</w:t>
      </w:r>
    </w:p>
    <w:p>
      <w:pPr>
        <w:spacing w:after="240" w:before="0"/>
        <w:jc w:val="center"/>
      </w:pPr>
      <w:r>
        <w:rPr>
          <w:rFonts w:ascii="Arial" w:cs="Arial" w:eastAsia="Arial" w:hAnsi="Arial"/>
          <w:b/>
          <w:bCs/>
          <w:color w:val="2E4057"/>
          <w:sz w:val="36"/>
          <w:szCs w:val="36"/>
        </w:rPr>
        <w:t xml:space="preserve">The Case for Agent Performance Improvement Plans</w:t>
      </w:r>
    </w:p>
    <w:p>
      <w:pPr>
        <w:spacing w:after="80" w:before="80"/>
        <w:jc w:val="center"/>
      </w:pPr>
      <w:r>
        <w:rPr>
          <w:rFonts w:ascii="Arial" w:cs="Arial" w:eastAsia="Arial" w:hAnsi="Arial"/>
          <w:b/>
          <w:bCs/>
          <w:color w:val="555555"/>
          <w:sz w:val="22"/>
          <w:szCs w:val="22"/>
        </w:rPr>
        <w:t xml:space="preserve">Anonymous Submission — Double-Blind Review</w:t>
      </w:r>
    </w:p>
    <w:p>
      <w:pPr>
        <w:spacing w:after="80" w:before="80"/>
        <w:jc w:val="center"/>
      </w:pPr>
      <w:r>
        <w:rPr>
          <w:rFonts w:ascii="Arial" w:cs="Arial" w:eastAsia="Arial" w:hAnsi="Arial"/>
          <w:i/>
          <w:iCs/>
          <w:color w:val="888888"/>
          <w:sz w:val="20"/>
          <w:szCs w:val="20"/>
        </w:rPr>
        <w:t xml:space="preserve">Author information withheld per review guidelines</w:t>
      </w:r>
    </w:p>
    <w:p>
      <w:pPr>
        <w:spacing w:after="0" w:before="80"/>
      </w:pPr>
      <w:r>
        <w:t xml:space="preserve"/>
      </w:r>
    </w:p>
    <w:p>
      <w:pPr>
        <w:pBdr>
          <w:bottom w:val="single" w:color="AAAAAA" w:sz="4" w:space="1"/>
        </w:pBdr>
        <w:spacing w:after="160" w:before="160"/>
      </w:pPr>
      <w:r>
        <w:t xml:space="preserve"/>
      </w:r>
    </w:p>
    <w:p>
      <w:pPr>
        <w:spacing w:after="80" w:before="160"/>
      </w:pPr>
      <w:r>
        <w:rPr>
          <w:rFonts w:ascii="Arial" w:cs="Arial" w:eastAsia="Arial" w:hAnsi="Arial"/>
          <w:b/>
          <w:bCs/>
          <w:color w:val="2E4057"/>
          <w:sz w:val="24"/>
          <w:szCs w:val="24"/>
        </w:rPr>
        <w:t xml:space="preserve">Abstract</w:t>
      </w:r>
    </w:p>
    <w:p>
      <w:pPr>
        <w:spacing w:after="200" w:before="0"/>
        <w:jc w:val="both"/>
      </w:pPr>
      <w:r>
        <w:rPr>
          <w:rFonts w:ascii="Arial" w:cs="Arial" w:eastAsia="Arial" w:hAnsi="Arial"/>
          <w:sz w:val="20"/>
          <w:szCs w:val="20"/>
        </w:rPr>
        <w:t xml:space="preserve">Deployed conversational AI agents frequently exhibit performance degradation, systematic failure modes, or misalignment with evolving user expectations. Yet the field has developed robust pre-deployment evaluation culture while largely neglecting post-deployment remediation. We introduce the Agent Performance Improvement Plan (APIP), a structured lifecycle protocol adapted from organizational management practice, designed to govern the remediation of underperforming production agents. Drawing on the structural primitives of human Performance Improvement Plans (PIPs) and integrating insights from Kirkpatrick’s four-level evaluation framework, we define a triggering threshold based on observable behavioral metrics, a root-cause classification taxonomy spanning four failure mode categories, a tiered intervention framework, a bounded remediation window with check-in cadences, and explicit exit criteria for resolution or escalation. We motivate the framework through a hypothetical customer service agent case study demonstrating how unstructured remediation produces avoidable regressions and accountability gaps. We further formalize the APIP as a declarative schema to enable tooling integration and audit trail generation. Drawing on Event System Theory (Morgeson et al., 2015) and research on team membership change and coordination flux (Summers et al., 2012; Trainer et al., 2020), we identify the extension of APIP to multi-agent mesh deployments—where a locally high-performing new agent may degrade peer performance through shared context disruption—as a critical open problem. Our framework surfaces underexplored questions about agent accountability, operator responsibility, and the documentation requirements emerging from AI governance regulations.</w:t>
      </w:r>
    </w:p>
    <w:p>
      <w:pPr>
        <w:pBdr>
          <w:bottom w:val="single" w:color="AAAAAA" w:sz="4" w:space="1"/>
        </w:pBdr>
        <w:spacing w:after="160" w:before="160"/>
      </w:pPr>
      <w:r>
        <w:t xml:space="preserve"/>
      </w:r>
    </w:p>
    <w:p>
      <w:pPr>
        <w:spacing w:after="0" w:before="80"/>
      </w:pPr>
      <w:r>
        <w:t xml:space="preserve"/>
      </w:r>
    </w:p>
    <w:p>
      <w:pPr>
        <w:pStyle w:val="Heading1"/>
      </w:pPr>
      <w:r>
        <w:rPr>
          <w:rFonts w:ascii="Arial" w:cs="Arial" w:eastAsia="Arial" w:hAnsi="Arial"/>
          <w:b/>
          <w:bCs/>
          <w:sz w:val="28"/>
          <w:szCs w:val="28"/>
        </w:rPr>
        <w:t xml:space="preserve">1  Introduction</w:t>
      </w:r>
    </w:p>
    <w:p>
      <w:pPr>
        <w:spacing w:after="0" w:before="60"/>
      </w:pPr>
      <w:r>
        <w:t xml:space="preserve"/>
      </w:r>
    </w:p>
    <w:p>
      <w:pPr>
        <w:spacing w:after="120" w:before="80"/>
        <w:jc w:val="both"/>
      </w:pPr>
      <w:r>
        <w:rPr>
          <w:rFonts w:ascii="Arial" w:cs="Arial" w:eastAsia="Arial" w:hAnsi="Arial"/>
          <w:sz w:val="22"/>
          <w:szCs w:val="22"/>
        </w:rPr>
        <w:t xml:space="preserve">The deployment of AI agents in customer-facing contexts has accelerated substantially over the past several years. Organizations now field conversational agents that handle support tickets, process refund requests, resolve billing disputes, and serve as the primary interface between companies and their customers. These agents are evaluated rigorously before release: benchmarked against curated datasets [9], red-teamed for adversarial robustness [5, 11], and aligned through reinforcement learning from human feedback [10]. Once deployed, however, systematic remediation culture is largely absent.</w:t>
      </w:r>
    </w:p>
    <w:p>
      <w:pPr>
        <w:spacing w:after="120" w:before="80"/>
        <w:jc w:val="both"/>
      </w:pPr>
      <w:r>
        <w:rPr>
          <w:rFonts w:ascii="Arial" w:cs="Arial" w:eastAsia="Arial" w:hAnsi="Arial"/>
          <w:sz w:val="22"/>
          <w:szCs w:val="22"/>
        </w:rPr>
        <w:t xml:space="preserve">When a deployed agent begins to underperform—producing increasing rates of hallucinated policy citations, mishandling a newly introduced product category, or gradually drifting toward an off-brand tone—the typical organizational response is ad hoc. Engineers patch prompts. Product managers file tickets. Occasionally, a rollback to an earlier model version occurs. None of these responses are structured, documented, or evaluated against measurable recovery criteria. The agent either recovers informally or is silently replaced.</w:t>
      </w:r>
    </w:p>
    <w:p>
      <w:pPr>
        <w:spacing w:after="120" w:before="80"/>
        <w:jc w:val="both"/>
      </w:pPr>
      <w:r>
        <w:rPr>
          <w:rFonts w:ascii="Arial" w:cs="Arial" w:eastAsia="Arial" w:hAnsi="Arial"/>
          <w:sz w:val="22"/>
          <w:szCs w:val="22"/>
        </w:rPr>
        <w:t xml:space="preserve">This gap is not merely an operational inconvenience. As AI agents take on increasingly consequential roles—and as regulatory frameworks such as the EU AI Act begin to impose documentation and human oversight requirements on deployed AI systems [4]—the absence of formal remediation protocols represents a meaningful governance risk. Wachter et al. [14] note that accountability in automated decision systems requires traceability of the decision process, a requirement that ad-hoc remediation cannot satisfy. More practically, the gap produces avoidable regression cycles, erodes operator confidence, and makes it structurally difficult to distinguish between an agent that is recoverable and one that should be retired.</w:t>
      </w:r>
    </w:p>
    <w:p>
      <w:pPr>
        <w:spacing w:after="120" w:before="80"/>
        <w:jc w:val="both"/>
      </w:pPr>
      <w:r>
        <w:rPr>
          <w:rFonts w:ascii="Arial" w:cs="Arial" w:eastAsia="Arial" w:hAnsi="Arial"/>
          <w:sz w:val="22"/>
          <w:szCs w:val="22"/>
        </w:rPr>
        <w:t xml:space="preserve">We propose that the Performance Improvement Plan (PIP), a well-established instrument from organizational human resources practice, provides a productive structural template for addressing this gap. The PIP encodes a general-purpose accountability protocol: a trigger condition, a cause-finding process, a bounded intervention window, a check-in cadence, and exit criteria that distinguish recovery from termination. In the organizational behavior literature, Kirkpatrick’s [7] four-level evaluation framework—Reaction, Learning, Behavior, and Results—provides a complementary structure for evaluating whether remediation interventions have produced durable change at each level of the system. Together, these organizational science foundations translate directly to the agent management context.</w:t>
      </w:r>
    </w:p>
    <w:p>
      <w:pPr>
        <w:spacing w:after="120" w:before="80"/>
        <w:jc w:val="both"/>
      </w:pPr>
      <w:r>
        <w:rPr>
          <w:rFonts w:ascii="Arial" w:cs="Arial" w:eastAsia="Arial" w:hAnsi="Arial"/>
          <w:sz w:val="22"/>
          <w:szCs w:val="22"/>
        </w:rPr>
        <w:t xml:space="preserve">We make the following contributions:</w:t>
      </w:r>
    </w:p>
    <w:p>
      <w:pPr>
        <w:pStyle w:val="ListParagraph"/>
        <w:numPr>
          <w:ilvl w:val="0"/>
          <w:numId w:val="2"/>
        </w:numPr>
        <w:spacing w:after="60" w:before="60"/>
      </w:pPr>
      <w:r>
        <w:rPr>
          <w:rFonts w:ascii="Arial" w:cs="Arial" w:eastAsia="Arial" w:hAnsi="Arial"/>
          <w:sz w:val="22"/>
          <w:szCs w:val="22"/>
        </w:rPr>
        <w:t xml:space="preserve">We introduce the Agent Performance Improvement Plan (APIP) as a formalized post-deployment remediation lifecycle protocol, grounded in organizational management and training evaluation research.</w:t>
      </w:r>
    </w:p>
    <w:p>
      <w:pPr>
        <w:pStyle w:val="ListParagraph"/>
        <w:numPr>
          <w:ilvl w:val="0"/>
          <w:numId w:val="2"/>
        </w:numPr>
        <w:spacing w:after="60" w:before="60"/>
      </w:pPr>
      <w:r>
        <w:rPr>
          <w:rFonts w:ascii="Arial" w:cs="Arial" w:eastAsia="Arial" w:hAnsi="Arial"/>
          <w:sz w:val="22"/>
          <w:szCs w:val="22"/>
        </w:rPr>
        <w:t xml:space="preserve">We develop a four-category taxonomy of agent failure modes that maps onto APIP cause-finding procedures.</w:t>
      </w:r>
    </w:p>
    <w:p>
      <w:pPr>
        <w:pStyle w:val="ListParagraph"/>
        <w:numPr>
          <w:ilvl w:val="0"/>
          <w:numId w:val="2"/>
        </w:numPr>
        <w:spacing w:after="60" w:before="60"/>
      </w:pPr>
      <w:r>
        <w:rPr>
          <w:rFonts w:ascii="Arial" w:cs="Arial" w:eastAsia="Arial" w:hAnsi="Arial"/>
          <w:sz w:val="22"/>
          <w:szCs w:val="22"/>
        </w:rPr>
        <w:t xml:space="preserve">We propose a three-tier intervention hierarchy—prompt-level, retrieval-level, and model-level—with escalation criteria, and connect the evaluation of these interventions to Kirkpatrick’s multi-level evaluation framework.</w:t>
      </w:r>
    </w:p>
    <w:p>
      <w:pPr>
        <w:pStyle w:val="ListParagraph"/>
        <w:numPr>
          <w:ilvl w:val="0"/>
          <w:numId w:val="2"/>
        </w:numPr>
        <w:spacing w:after="60" w:before="60"/>
      </w:pPr>
      <w:r>
        <w:rPr>
          <w:rFonts w:ascii="Arial" w:cs="Arial" w:eastAsia="Arial" w:hAnsi="Arial"/>
          <w:sz w:val="22"/>
          <w:szCs w:val="22"/>
        </w:rPr>
        <w:t xml:space="preserve">We formalize the APIP as a declarative schema to support tooling integration and audit trail generation.</w:t>
      </w:r>
    </w:p>
    <w:p>
      <w:pPr>
        <w:pStyle w:val="ListParagraph"/>
        <w:numPr>
          <w:ilvl w:val="0"/>
          <w:numId w:val="2"/>
        </w:numPr>
        <w:spacing w:after="60" w:before="60"/>
      </w:pPr>
      <w:r>
        <w:rPr>
          <w:rFonts w:ascii="Arial" w:cs="Arial" w:eastAsia="Arial" w:hAnsi="Arial"/>
          <w:sz w:val="22"/>
          <w:szCs w:val="22"/>
        </w:rPr>
        <w:t xml:space="preserve">We motivate and illustrate the framework through a hypothetical customer service agent deployment scenario.</w:t>
      </w:r>
    </w:p>
    <w:p>
      <w:pPr>
        <w:pStyle w:val="ListParagraph"/>
        <w:numPr>
          <w:ilvl w:val="0"/>
          <w:numId w:val="2"/>
        </w:numPr>
        <w:spacing w:after="60" w:before="60"/>
      </w:pPr>
      <w:r>
        <w:rPr>
          <w:rFonts w:ascii="Arial" w:cs="Arial" w:eastAsia="Arial" w:hAnsi="Arial"/>
          <w:sz w:val="22"/>
          <w:szCs w:val="22"/>
        </w:rPr>
        <w:t xml:space="preserve">We identify the mesh disruption problem—where a locally optimal new agent degrades peer performance—as a critical open problem, framing it through Event System Theory and the team membership change literature.</w:t>
      </w:r>
    </w:p>
    <w:p>
      <w:pPr>
        <w:spacing w:after="0" w:before="80"/>
      </w:pPr>
      <w:r>
        <w:t xml:space="preserve"/>
      </w:r>
    </w:p>
    <w:p>
      <w:pPr>
        <w:pStyle w:val="Heading1"/>
      </w:pPr>
      <w:r>
        <w:rPr>
          <w:rFonts w:ascii="Arial" w:cs="Arial" w:eastAsia="Arial" w:hAnsi="Arial"/>
          <w:b/>
          <w:bCs/>
          <w:sz w:val="28"/>
          <w:szCs w:val="28"/>
        </w:rPr>
        <w:t xml:space="preserve">2  Background and Related Work</w:t>
      </w:r>
    </w:p>
    <w:p>
      <w:pPr>
        <w:spacing w:after="0" w:before="60"/>
      </w:pPr>
      <w:r>
        <w:t xml:space="preserve"/>
      </w:r>
    </w:p>
    <w:p>
      <w:pPr>
        <w:pStyle w:val="Heading2"/>
      </w:pPr>
      <w:r>
        <w:rPr>
          <w:rFonts w:ascii="Arial" w:cs="Arial" w:eastAsia="Arial" w:hAnsi="Arial"/>
          <w:b/>
          <w:bCs/>
          <w:sz w:val="24"/>
          <w:szCs w:val="24"/>
        </w:rPr>
        <w:t xml:space="preserve">2.1  Agent Evaluation and the Deployment Gap</w:t>
      </w:r>
    </w:p>
    <w:p>
      <w:pPr>
        <w:spacing w:after="0" w:before="40"/>
      </w:pPr>
      <w:r>
        <w:t xml:space="preserve"/>
      </w:r>
    </w:p>
    <w:p>
      <w:pPr>
        <w:spacing w:after="120" w:before="80"/>
        <w:jc w:val="both"/>
      </w:pPr>
      <w:r>
        <w:rPr>
          <w:rFonts w:ascii="Arial" w:cs="Arial" w:eastAsia="Arial" w:hAnsi="Arial"/>
          <w:sz w:val="22"/>
          <w:szCs w:val="22"/>
        </w:rPr>
        <w:t xml:space="preserve">Pre-deployment evaluation of AI systems has matured substantially. The emergence of standardized benchmarks [9], automated red-teaming pipelines [5, 11], behavioral testing frameworks such as CheckList [12], and alignment techniques such as RLHF [10] and Constitutional AI [1] have created a well-tooled pre-release lifecycle. Post-deployment monitoring has received comparatively less systematic attention. Existing work on production AI monitoring tends to focus on anomaly detection and drift detection—identifying when performance has degraded—without prescribing structured remediation responses. The APIP framework addresses this gap by treating remediation as a first-class lifecycle phase.</w:t>
      </w:r>
    </w:p>
    <w:p>
      <w:pPr>
        <w:pStyle w:val="Heading2"/>
      </w:pPr>
      <w:r>
        <w:rPr>
          <w:rFonts w:ascii="Arial" w:cs="Arial" w:eastAsia="Arial" w:hAnsi="Arial"/>
          <w:b/>
          <w:bCs/>
          <w:sz w:val="24"/>
          <w:szCs w:val="24"/>
        </w:rPr>
        <w:t xml:space="preserve">2.2  The Performance Improvement Plan as a Structural Template</w:t>
      </w:r>
    </w:p>
    <w:p>
      <w:pPr>
        <w:spacing w:after="0" w:before="40"/>
      </w:pPr>
      <w:r>
        <w:t xml:space="preserve"/>
      </w:r>
    </w:p>
    <w:p>
      <w:pPr>
        <w:spacing w:after="120" w:before="80"/>
        <w:jc w:val="both"/>
      </w:pPr>
      <w:r>
        <w:rPr>
          <w:rFonts w:ascii="Arial" w:cs="Arial" w:eastAsia="Arial" w:hAnsi="Arial"/>
          <w:sz w:val="22"/>
          <w:szCs w:val="22"/>
        </w:rPr>
        <w:t xml:space="preserve">The Performance Improvement Plan in organizational management is a formal document issued to an underperforming employee that specifies: the performance deficiencies observed, the root causes identified, the corrective actions required, the time window for improvement, the check-in schedule, and the criteria by which success or failure will be evaluated. The American Society for Human Resource Management recommends that a PIP should be used when there is a genuine commitment to help the employee improve, not merely as a precursor to termination [8]. Kirkpatrick [7, 8] emphasizes that the PIP should be developed collaboratively by the manager and employee, because remediation requires both parties’ participation to succeed.</w:t>
      </w:r>
    </w:p>
    <w:p>
      <w:pPr>
        <w:spacing w:after="120" w:before="80"/>
        <w:jc w:val="both"/>
      </w:pPr>
      <w:r>
        <w:rPr>
          <w:rFonts w:ascii="Arial" w:cs="Arial" w:eastAsia="Arial" w:hAnsi="Arial"/>
          <w:sz w:val="22"/>
          <w:szCs w:val="22"/>
        </w:rPr>
        <w:t xml:space="preserve">The PIP analogy to agent management is structurally productive but requires important qualification. A human employee can engage in self-directed improvement: they understand the feedback, adjust their behavior, and exercise agency. A deployed AI agent cannot. The APIP is therefore a management protocol imposed entirely by human operators—the agent is the subject, not the agent, of the plan. This distinction is theoretically important and has practical implications for where we locate the locus of accountability in the APIP lifecycle. In organizational terms, the APIP collapses the manager–employee dyad: the operator is both the manager who writes the plan and the agent of change who implements it.</w:t>
      </w:r>
    </w:p>
    <w:p>
      <w:pPr>
        <w:pStyle w:val="Heading2"/>
      </w:pPr>
      <w:r>
        <w:rPr>
          <w:rFonts w:ascii="Arial" w:cs="Arial" w:eastAsia="Arial" w:hAnsi="Arial"/>
          <w:b/>
          <w:bCs/>
          <w:sz w:val="24"/>
          <w:szCs w:val="24"/>
        </w:rPr>
        <w:t xml:space="preserve">2.3  Kirkpatrick’s Four-Level Evaluation Framework</w:t>
      </w:r>
    </w:p>
    <w:p>
      <w:pPr>
        <w:spacing w:after="0" w:before="40"/>
      </w:pPr>
      <w:r>
        <w:t xml:space="preserve"/>
      </w:r>
    </w:p>
    <w:p>
      <w:pPr>
        <w:spacing w:after="120" w:before="80"/>
        <w:jc w:val="both"/>
      </w:pPr>
      <w:r>
        <w:rPr>
          <w:rFonts w:ascii="Arial" w:cs="Arial" w:eastAsia="Arial" w:hAnsi="Arial"/>
          <w:sz w:val="22"/>
          <w:szCs w:val="22"/>
        </w:rPr>
        <w:t xml:space="preserve">Kirkpatrick’s [7] four-level training evaluation model, first published in 1959 and refined over the subsequent six decades, provides a hierarchical framework for evaluating the impact of interventions: Level 1 (Reaction) assesses immediate participant response, Level 2 (Learning) measures knowledge or skill acquisition, Level 3 (Behavior) evaluates whether learning transfers to on-the-job behavior change, and Level 4 (Results) measures organizational outcomes [7, 8]. The model has been applied across business, government, military, and healthcare contexts, and remains the most widely used training evaluation framework globally.</w:t>
      </w:r>
    </w:p>
    <w:p>
      <w:pPr>
        <w:spacing w:after="120" w:before="80"/>
        <w:jc w:val="both"/>
      </w:pPr>
      <w:r>
        <w:rPr>
          <w:rFonts w:ascii="Arial" w:cs="Arial" w:eastAsia="Arial" w:hAnsi="Arial"/>
          <w:sz w:val="22"/>
          <w:szCs w:val="22"/>
        </w:rPr>
        <w:t xml:space="preserve">We adopt the Kirkpatrick framework as a structural template for evaluating APIP interventions. When a prompt-level, retrieval-level, or model-level intervention is applied to a degraded agent, the check-in evaluation should assess impact at multiple levels: Did the intervention change the agent’s immediate output patterns (Level 1/2)? Did it produce durable behavioral change in how the agent handles the failure-mode class (Level 3)? Did it improve the business metrics specified in the behavioral contract—CSAT, task completion, escalation rate (Level 4)? An intervention that improves Level 1/2 metrics without producing Level 3/4 improvement has not remediated the agent; it has merely suppressed the symptom. This hierarchical evaluation discipline is essential for distinguishing genuine recovery from surface-level metric manipulation.</w:t>
      </w:r>
    </w:p>
    <w:p>
      <w:pPr>
        <w:pStyle w:val="Heading2"/>
      </w:pPr>
      <w:r>
        <w:rPr>
          <w:rFonts w:ascii="Arial" w:cs="Arial" w:eastAsia="Arial" w:hAnsi="Arial"/>
          <w:b/>
          <w:bCs/>
          <w:sz w:val="24"/>
          <w:szCs w:val="24"/>
        </w:rPr>
        <w:t xml:space="preserve">2.4  AI Governance and Documentation Requirements</w:t>
      </w:r>
    </w:p>
    <w:p>
      <w:pPr>
        <w:spacing w:after="0" w:before="40"/>
      </w:pPr>
      <w:r>
        <w:t xml:space="preserve"/>
      </w:r>
    </w:p>
    <w:p>
      <w:pPr>
        <w:spacing w:after="120" w:before="80"/>
        <w:jc w:val="both"/>
      </w:pPr>
      <w:r>
        <w:rPr>
          <w:rFonts w:ascii="Arial" w:cs="Arial" w:eastAsia="Arial" w:hAnsi="Arial"/>
          <w:sz w:val="22"/>
          <w:szCs w:val="22"/>
        </w:rPr>
        <w:t xml:space="preserve">Regulatory frameworks for AI systems are increasingly emphasizing documentation, human oversight, and traceability. The EU AI Act [4] requires providers of high-risk AI systems to implement post-market monitoring systems and maintain logs sufficient to identify sources of error. US executive orders on AI safety have similarly emphasized the importance of human oversight in consequential automated decision systems. Brundage et al. [3] argue that verifiable claims about AI system behavior require mechanisms that go beyond pre-deployment testing alone—a position that directly motivates the APIP’s post-deployment accountability structure. The APIP framework is designed to produce the audit trails and structured documentation these frameworks implicitly require, positioning it as both a technical practice and a governance instrument.</w:t>
      </w:r>
    </w:p>
    <w:p>
      <w:pPr>
        <w:pStyle w:val="Heading2"/>
      </w:pPr>
      <w:r>
        <w:rPr>
          <w:rFonts w:ascii="Arial" w:cs="Arial" w:eastAsia="Arial" w:hAnsi="Arial"/>
          <w:b/>
          <w:bCs/>
          <w:sz w:val="24"/>
          <w:szCs w:val="24"/>
        </w:rPr>
        <w:t xml:space="preserve">2.5  Team Dynamics, Membership Change, and Coordination</w:t>
      </w:r>
    </w:p>
    <w:p>
      <w:pPr>
        <w:spacing w:after="0" w:before="40"/>
      </w:pPr>
      <w:r>
        <w:t xml:space="preserve"/>
      </w:r>
    </w:p>
    <w:p>
      <w:pPr>
        <w:spacing w:after="120" w:before="80"/>
        <w:jc w:val="both"/>
      </w:pPr>
      <w:r>
        <w:rPr>
          <w:rFonts w:ascii="Arial" w:cs="Arial" w:eastAsia="Arial" w:hAnsi="Arial"/>
          <w:sz w:val="22"/>
          <w:szCs w:val="22"/>
        </w:rPr>
        <w:t xml:space="preserve">A growing body of organizational behavior research addresses how team composition changes affect team functioning and performance. Morgeson, Mitchell, and Liu [16] introduced Event System Theory (EST), which posits that organizational events are characterized by three properties—novelty, disruption, and criticality—that determine their impact on organizational entities. Events that are higher on these dimensions are more likely to produce changes in behavior, features, or subsequent events.</w:t>
      </w:r>
    </w:p>
    <w:p>
      <w:pPr>
        <w:spacing w:after="120" w:before="80"/>
        <w:jc w:val="both"/>
      </w:pPr>
      <w:r>
        <w:rPr>
          <w:rFonts w:ascii="Arial" w:cs="Arial" w:eastAsia="Arial" w:hAnsi="Arial"/>
          <w:sz w:val="22"/>
          <w:szCs w:val="22"/>
        </w:rPr>
        <w:t xml:space="preserve">Summers, Humphrey, and Ferris [20] applied an event-based lens to team member change and found that membership changes caused high levels of flux in coordination when the change involved a strategically core role or when information transfer during the transition was low. Trainer et al. [22] reconceptualized each team membership change as a discrete team-level event with varying degrees of novelty, disruptiveness, and criticality, finding that newcomer entry can substantially impact team functioning beyond its impact on the newcomer themselves.</w:t>
      </w:r>
    </w:p>
    <w:p>
      <w:pPr>
        <w:spacing w:after="120" w:before="80"/>
        <w:jc w:val="both"/>
      </w:pPr>
      <w:r>
        <w:rPr>
          <w:rFonts w:ascii="Arial" w:cs="Arial" w:eastAsia="Arial" w:hAnsi="Arial"/>
          <w:sz w:val="22"/>
          <w:szCs w:val="22"/>
        </w:rPr>
        <w:t xml:space="preserve">Research on Transactive Memory Systems (TMS)—collective memory systems in which team members specialize in different knowledge domains while maintaining shared awareness of who knows what [23, 15, 18]—provides a cognitive mechanism for understanding how membership changes disrupt coordination. When a new member enters, the team’s TMS becomes inaccurate: existing members’ calibrations of who knows what and how to coordinate are invalidated [15, 23]. The newcomer socialization literature further documents that support for newcomers declines within the first 90 days [6], and that structured onboarding significantly improves adjustment outcomes [2].</w:t>
      </w:r>
    </w:p>
    <w:p>
      <w:pPr>
        <w:spacing w:after="120" w:before="80"/>
        <w:jc w:val="both"/>
      </w:pPr>
      <w:r>
        <w:rPr>
          <w:rFonts w:ascii="Arial" w:cs="Arial" w:eastAsia="Arial" w:hAnsi="Arial"/>
          <w:sz w:val="22"/>
          <w:szCs w:val="22"/>
        </w:rPr>
        <w:t xml:space="preserve">These organizational research streams are directly relevant to the APIP framework, particularly as we consider its extension to multi-agent mesh deployments in Section 7.3. The dynamics of team membership change, coordination flux, and transactive memory disruption provide a theoretical vocabulary for understanding how a new agent introduced to an existing agent mesh can degrade peer agent performance—even when the new agent performs its own task well.</w:t>
      </w:r>
    </w:p>
    <w:p>
      <w:pPr>
        <w:spacing w:after="0" w:before="80"/>
      </w:pPr>
      <w:r>
        <w:t xml:space="preserve"/>
      </w:r>
    </w:p>
    <w:p>
      <w:pPr>
        <w:pStyle w:val="Heading1"/>
      </w:pPr>
      <w:r>
        <w:rPr>
          <w:rFonts w:ascii="Arial" w:cs="Arial" w:eastAsia="Arial" w:hAnsi="Arial"/>
          <w:b/>
          <w:bCs/>
          <w:sz w:val="28"/>
          <w:szCs w:val="28"/>
        </w:rPr>
        <w:t xml:space="preserve">3  A Taxonomy of Agent Failure Modes</w:t>
      </w:r>
    </w:p>
    <w:p>
      <w:pPr>
        <w:spacing w:after="0" w:before="60"/>
      </w:pPr>
      <w:r>
        <w:t xml:space="preserve"/>
      </w:r>
    </w:p>
    <w:p>
      <w:pPr>
        <w:spacing w:after="120" w:before="80"/>
        <w:jc w:val="both"/>
      </w:pPr>
      <w:r>
        <w:rPr>
          <w:rFonts w:ascii="Arial" w:cs="Arial" w:eastAsia="Arial" w:hAnsi="Arial"/>
          <w:sz w:val="22"/>
          <w:szCs w:val="22"/>
        </w:rPr>
        <w:t xml:space="preserve">A critical prerequisite to structured remediation is structured cause-finding. We propose a four-category taxonomy of agent failure modes relevant to customer-facing agents. These categories are not mutually exclusive, but they suggest distinct remediation pathways, which is the operationally important property for APIP design. Following Kirkpatrick’s [7] insight that evaluation should be hierarchical, we note that each failure mode category corresponds to a different level of the agent’s behavioral stack, and consequently to a different intervention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 &amp; Signals</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Remediation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 Drift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Gradual degradation as world-state diverges from training or retrieval context. Signals: rising hallucination rate on new entities, outdated policy citations, product terminology mismatches. Kirkpatrick Level 4 (Results)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2: Retrieval / RAG update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Brittleness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performance on modal inputs, catastrophic failure on a specific subclass. Signals: bimodal CSAT distribution, failure clustering around user segment or topic. Kirkpatrick Level 2 (Learning/Capability)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(examples) or Tier 3 (fine-tune)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Alignment Creep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Subtle drift in tone, value expression, or policy compliance. Signals: escalating human review flags, regulatory keyword triggers, brand guidelines violations. Kirkpatrick Level 3 (Behavior)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Prompt constraint injection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 Misuse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intent identification with incorrect tool invocation. Signals: action errors, silent failures in downstream integrations, over- or under-use of tool surface. Kirkpatrick Level 3 (Behavior)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(prompt) or Tier 3 (fine-tune)</w:t>
            </w:r>
          </w:p>
        </w:tc>
      </w:tr>
    </w:tbl>
    <w:p>
      <w:pPr>
        <w:spacing w:after="0" w:before="80"/>
      </w:pPr>
      <w:r>
        <w:t xml:space="preserve"/>
      </w:r>
    </w:p>
    <w:p>
      <w:pPr>
        <w:spacing w:after="160" w:before="40"/>
        <w:jc w:val="center"/>
      </w:pPr>
      <w:r>
        <w:rPr>
          <w:rFonts w:ascii="Arial" w:cs="Arial" w:eastAsia="Arial" w:hAnsi="Arial"/>
          <w:i/>
          <w:iCs/>
          <w:color w:val="555555"/>
          <w:sz w:val="18"/>
          <w:szCs w:val="18"/>
        </w:rPr>
        <w:t xml:space="preserve">Table 1: Agent failure mode taxonomy with Kirkpatrick level mapping and remediation tier.</w:t>
      </w:r>
    </w:p>
    <w:p>
      <w:pPr>
        <w:spacing w:after="120" w:before="80"/>
        <w:jc w:val="both"/>
      </w:pPr>
      <w:r>
        <w:rPr>
          <w:rFonts w:ascii="Arial" w:cs="Arial" w:eastAsia="Arial" w:hAnsi="Arial"/>
          <w:sz w:val="22"/>
          <w:szCs w:val="22"/>
        </w:rPr>
        <w:t xml:space="preserve">Behavioral Drift is perhaps the most common failure mode in production deployments. A customer service agent trained or prompted against a product catalog from six months ago will increasingly produce incorrect citations as the catalog evolves. This is not a model capability failure—it is a retrieval or context freshness failure, and its remediation pathway is correspondingly different from fine-tuning. In Kirkpatrick’s terms, this is a Level 4 failure: the agent’s learned behavior has not changed, but the organizational results are degrading because the environment has shifted.</w:t>
      </w:r>
    </w:p>
    <w:p>
      <w:pPr>
        <w:spacing w:after="120" w:before="80"/>
        <w:jc w:val="both"/>
      </w:pPr>
      <w:r>
        <w:rPr>
          <w:rFonts w:ascii="Arial" w:cs="Arial" w:eastAsia="Arial" w:hAnsi="Arial"/>
          <w:sz w:val="22"/>
          <w:szCs w:val="22"/>
        </w:rPr>
        <w:t xml:space="preserve">Input Brittleness is particularly pernicious because aggregate metrics mask it. An agent with 85% task success overall may be failing catastrophically on the 8% of requests that involve a particular billing scenario or a non-native-English speaker segment. Without disaggregated evaluation, the APIP trigger will not fire until overall performance has substantially degraded. This maps to a Kirkpatrick Level 2 failure: the agent lacks the capability (learning) to handle a specific input class, even though its general capability is adequate.</w:t>
      </w:r>
    </w:p>
    <w:p>
      <w:pPr>
        <w:spacing w:after="120" w:before="80"/>
        <w:jc w:val="both"/>
      </w:pPr>
      <w:r>
        <w:rPr>
          <w:rFonts w:ascii="Arial" w:cs="Arial" w:eastAsia="Arial" w:hAnsi="Arial"/>
          <w:sz w:val="22"/>
          <w:szCs w:val="22"/>
        </w:rPr>
        <w:t xml:space="preserve">Alignment Creep covers the class of failures in which the agent’s behavior drifts from the intended value envelope—not necessarily producing factually incorrect outputs, but producing outputs that are off-brand, subtly non-compliant, or misaligned with the organization’s customer communication policies. Hendrycks et al. [6] characterize this class of failure as value misalignment, distinct from capability failure, and argue it requires distinct detection and remediation mechanisms. In Kirkpatrick’s terms, this is a Level 3 failure: the agent’s behavior has changed in ways that do not serve the organizational goals, even though its underlying capability has not degraded.</w:t>
      </w:r>
    </w:p>
    <w:p>
      <w:pPr>
        <w:spacing w:after="120" w:before="80"/>
        <w:jc w:val="both"/>
      </w:pPr>
      <w:r>
        <w:rPr>
          <w:rFonts w:ascii="Arial" w:cs="Arial" w:eastAsia="Arial" w:hAnsi="Arial"/>
          <w:sz w:val="22"/>
          <w:szCs w:val="22"/>
        </w:rPr>
        <w:t xml:space="preserve">Tool Misuse is increasingly relevant as agentic systems are given access to action surfaces: ticket creation, refund processing, escalation routing, and external API calls. An agent that correctly identifies user intent but invokes the wrong tool, invokes a tool with incorrect parameters, or fails to invoke a necessary tool produces a qualitatively different class of failure than a purely conversational agent—one with potentially significant downstream consequences.</w:t>
      </w:r>
    </w:p>
    <w:p>
      <w:pPr>
        <w:spacing w:after="0" w:before="80"/>
      </w:pPr>
      <w:r>
        <w:t xml:space="preserve"/>
      </w:r>
    </w:p>
    <w:p>
      <w:pPr>
        <w:pStyle w:val="Heading1"/>
      </w:pPr>
      <w:r>
        <w:rPr>
          <w:rFonts w:ascii="Arial" w:cs="Arial" w:eastAsia="Arial" w:hAnsi="Arial"/>
          <w:b/>
          <w:bCs/>
          <w:sz w:val="28"/>
          <w:szCs w:val="28"/>
        </w:rPr>
        <w:t xml:space="preserve">4  The APIP Framework</w:t>
      </w:r>
    </w:p>
    <w:p>
      <w:pPr>
        <w:spacing w:after="0" w:before="60"/>
      </w:pPr>
      <w:r>
        <w:t xml:space="preserve"/>
      </w:r>
    </w:p>
    <w:p>
      <w:pPr>
        <w:spacing w:after="120" w:before="80"/>
        <w:jc w:val="both"/>
      </w:pPr>
      <w:r>
        <w:rPr>
          <w:rFonts w:ascii="Arial" w:cs="Arial" w:eastAsia="Arial" w:hAnsi="Arial"/>
          <w:sz w:val="22"/>
          <w:szCs w:val="22"/>
        </w:rPr>
        <w:t xml:space="preserve">We now describe the APIP as a structured lifecycle protocol. The framework consists of five phases: Trigger, Cause Attribution, Intervention Planning, Remediation Window, and Exit Evaluation. Figure 1 illustrates the lifecycle; each phase is described in detail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
        <w:gridCol w:w="1600"/>
        <w:gridCol w:w="200"/>
        <w:gridCol w:w="1600"/>
        <w:gridCol w:w="200"/>
        <w:gridCol w:w="1600"/>
        <w:gridCol w:w="200"/>
        <w:gridCol w:w="1600"/>
      </w:tblGrid>
      <w:tr>
        <w:tc>
          <w:tcPr>
            <w:tcW w:type="dxa" w:w="1600"/>
            <w:tcBorders>
              <w:top w:val="single" w:color="CCCCCC" w:sz="1"/>
              <w:left w:val="single" w:color="CCCCCC" w:sz="1"/>
              <w:bottom w:val="single" w:color="CCCCCC" w:sz="1"/>
              <w:right w:val="single" w:color="CCCCCC" w:sz="1"/>
            </w:tcBorders>
            <w:shd w:fill="2E4057"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1. Trigger</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3D6B8C"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2. Cause Attribution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4A90A4"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3. Intervention Plan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57A6B8"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4. Remediation Window</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63BFD0"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5. Exit Evaluation</w:t>
            </w:r>
          </w:p>
        </w:tc>
      </w:tr>
    </w:tbl>
    <w:p>
      <w:pPr>
        <w:spacing w:after="0" w:before="60"/>
      </w:pPr>
      <w:r>
        <w:t xml:space="preserve"/>
      </w:r>
    </w:p>
    <w:p>
      <w:pPr>
        <w:spacing w:after="160" w:before="40"/>
        <w:jc w:val="center"/>
      </w:pPr>
      <w:r>
        <w:rPr>
          <w:rFonts w:ascii="Arial" w:cs="Arial" w:eastAsia="Arial" w:hAnsi="Arial"/>
          <w:i/>
          <w:iCs/>
          <w:color w:val="555555"/>
          <w:sz w:val="18"/>
          <w:szCs w:val="18"/>
        </w:rPr>
        <w:t xml:space="preserve">Figure 1: The five-phase APIP lifecycle.</w:t>
      </w:r>
    </w:p>
    <w:p>
      <w:pPr>
        <w:pStyle w:val="Heading2"/>
      </w:pPr>
      <w:r>
        <w:rPr>
          <w:rFonts w:ascii="Arial" w:cs="Arial" w:eastAsia="Arial" w:hAnsi="Arial"/>
          <w:b/>
          <w:bCs/>
          <w:sz w:val="24"/>
          <w:szCs w:val="24"/>
        </w:rPr>
        <w:t xml:space="preserve">4.1  Phase 1: Trigger</w:t>
      </w:r>
    </w:p>
    <w:p>
      <w:pPr>
        <w:spacing w:after="0" w:before="40"/>
      </w:pPr>
      <w:r>
        <w:t xml:space="preserve"/>
      </w:r>
    </w:p>
    <w:p>
      <w:pPr>
        <w:spacing w:after="120" w:before="80"/>
        <w:jc w:val="both"/>
      </w:pPr>
      <w:r>
        <w:rPr>
          <w:rFonts w:ascii="Arial" w:cs="Arial" w:eastAsia="Arial" w:hAnsi="Arial"/>
          <w:sz w:val="22"/>
          <w:szCs w:val="22"/>
        </w:rPr>
        <w:t xml:space="preserve">An APIP is initiated when an agent’s performance crosses a pre-specified trigger threshold on one or more monitored metrics. This presupposes the existence of a behavioral contract—a formal specification of the performance envelope the agent is expected to maintain at deployment time. The behavioral contract is a deliberate design artifact that most teams currently skip, delegating performance expectations to informal organizational memory.</w:t>
      </w:r>
    </w:p>
    <w:p>
      <w:pPr>
        <w:spacing w:after="120" w:before="80"/>
        <w:jc w:val="both"/>
      </w:pPr>
      <w:r>
        <w:rPr>
          <w:rFonts w:ascii="Arial" w:cs="Arial" w:eastAsia="Arial" w:hAnsi="Arial"/>
          <w:sz w:val="22"/>
          <w:szCs w:val="22"/>
        </w:rPr>
        <w:t xml:space="preserve">A minimal behavioral contract specifies: the task surface (what the agent is expected to do), the success metrics and their measurement methodology, the acceptable performance range for each metric, the escalation policy, and the human review integration points. Trigger conditions are then threshold crossings on contract metrics—for example, task completion rate falling below 82% over a rolling 7-day window, or CSAT score declining by more than 0.5 points from the deployment baseline.</w:t>
      </w:r>
    </w:p>
    <w:p>
      <w:pPr>
        <w:spacing w:after="120" w:before="80"/>
        <w:jc w:val="both"/>
      </w:pPr>
      <w:r>
        <w:rPr>
          <w:rFonts w:ascii="Arial" w:cs="Arial" w:eastAsia="Arial" w:hAnsi="Arial"/>
          <w:sz w:val="22"/>
          <w:szCs w:val="22"/>
        </w:rPr>
        <w:t xml:space="preserve">Two trigger modalities are relevant: absolute threshold triggers, which fire when a metric crosses a fixed floor, and relative drift triggers, which fire when a metric declines significantly from its recent baseline regardless of absolute level. Both are necessary; the former catches severe degradation, the latter catches gradual drift that may not breach an absolute floor for some time.</w:t>
      </w:r>
    </w:p>
    <w:p>
      <w:pPr>
        <w:pStyle w:val="Heading2"/>
      </w:pPr>
      <w:r>
        <w:rPr>
          <w:rFonts w:ascii="Arial" w:cs="Arial" w:eastAsia="Arial" w:hAnsi="Arial"/>
          <w:b/>
          <w:bCs/>
          <w:sz w:val="24"/>
          <w:szCs w:val="24"/>
        </w:rPr>
        <w:t xml:space="preserve">4.2  Phase 2: Cause Attribution</w:t>
      </w:r>
    </w:p>
    <w:p>
      <w:pPr>
        <w:spacing w:after="0" w:before="40"/>
      </w:pPr>
      <w:r>
        <w:t xml:space="preserve"/>
      </w:r>
    </w:p>
    <w:p>
      <w:pPr>
        <w:spacing w:after="120" w:before="80"/>
        <w:jc w:val="both"/>
      </w:pPr>
      <w:r>
        <w:rPr>
          <w:rFonts w:ascii="Arial" w:cs="Arial" w:eastAsia="Arial" w:hAnsi="Arial"/>
          <w:sz w:val="22"/>
          <w:szCs w:val="22"/>
        </w:rPr>
        <w:t xml:space="preserve">Once triggered, the APIP requires a structured cause attribution process before any intervention is applied. The purpose of this phase is to identify which failure mode category (Section 3) best explains the observed degradation. Applying the wrong intervention tier to a misdiagnosed failure mode is a primary source of avoidable regression in current practice—prompt engineering applied to a retrieval freshness problem, for instance, produces no improvement while consuming engineering cycles.</w:t>
      </w:r>
    </w:p>
    <w:p>
      <w:pPr>
        <w:spacing w:after="120" w:before="80"/>
        <w:jc w:val="both"/>
      </w:pPr>
      <w:r>
        <w:rPr>
          <w:rFonts w:ascii="Arial" w:cs="Arial" w:eastAsia="Arial" w:hAnsi="Arial"/>
          <w:sz w:val="22"/>
          <w:szCs w:val="22"/>
        </w:rPr>
        <w:t xml:space="preserve">The cause attribution process should include: (1) disaggregated performance analysis by input category, user segment, and topic cluster to isolate failure locus; (2) review of a sampled set of failure cases by a qualified human reviewer; (3) retrieval audit if behavioral drift is suspected; (4) tool invocation log analysis if tool misuse is suspected; and (5) a structured classification of the failure into the four-category taxonomy. The output of this phase is a written cause attribution report that becomes part of the APIP record.</w:t>
      </w:r>
    </w:p>
    <w:p>
      <w:pPr>
        <w:pStyle w:val="Heading2"/>
      </w:pPr>
      <w:r>
        <w:rPr>
          <w:rFonts w:ascii="Arial" w:cs="Arial" w:eastAsia="Arial" w:hAnsi="Arial"/>
          <w:b/>
          <w:bCs/>
          <w:sz w:val="24"/>
          <w:szCs w:val="24"/>
        </w:rPr>
        <w:t xml:space="preserve">4.3  Phase 3: Intervention Planning and the Tier Model</w:t>
      </w:r>
    </w:p>
    <w:p>
      <w:pPr>
        <w:spacing w:after="0" w:before="40"/>
      </w:pPr>
      <w:r>
        <w:t xml:space="preserve"/>
      </w:r>
    </w:p>
    <w:p>
      <w:pPr>
        <w:spacing w:after="120" w:before="80"/>
        <w:jc w:val="both"/>
      </w:pPr>
      <w:r>
        <w:rPr>
          <w:rFonts w:ascii="Arial" w:cs="Arial" w:eastAsia="Arial" w:hAnsi="Arial"/>
          <w:sz w:val="22"/>
          <w:szCs w:val="22"/>
        </w:rPr>
        <w:t xml:space="preserve">Interventions are organized into three tiers of increasing cost, disruption, and required lead time. The cause attribution output selects the appropriate starting tier; escalation to higher tiers is permitted if lower tiers prove insufficient within the remediation window.</w:t>
      </w:r>
    </w:p>
    <w:p>
      <w:pPr>
        <w:spacing w:after="0" w:before="60"/>
      </w:pPr>
      <w:r>
        <w:t xml:space="preserve"/>
      </w:r>
    </w:p>
    <w:p>
      <w:pPr>
        <w:spacing w:after="120" w:before="80"/>
        <w:jc w:val="both"/>
      </w:pPr>
      <w:r>
        <w:rPr>
          <w:rFonts w:ascii="Arial" w:cs="Arial" w:eastAsia="Arial" w:hAnsi="Arial"/>
          <w:b/>
          <w:bCs/>
          <w:sz w:val="22"/>
          <w:szCs w:val="22"/>
        </w:rPr>
        <w:t xml:space="preserve">Tier 1 — Prompt-Level Interventions. </w:t>
      </w:r>
      <w:r>
        <w:rPr>
          <w:rFonts w:ascii="Arial" w:cs="Arial" w:eastAsia="Arial" w:hAnsi="Arial"/>
          <w:sz w:val="22"/>
          <w:szCs w:val="22"/>
        </w:rPr>
        <w:t xml:space="preserve">Prompt-level interventions modify the agent’s system prompt, few-shot examples, or instruction set without altering the underlying model or retrieval system. These include constraint injection (adding explicit prohibitions or requirements to the prompt), persona adjustment, few-shot example replacement, and context window restructuring. Tier 1 interventions are the fastest to implement, the least disruptive to production, and the easiest to roll back. They are the appropriate starting point for alignment creep and many instances of input brittleness.</w:t>
      </w:r>
    </w:p>
    <w:p>
      <w:pPr>
        <w:spacing w:after="0" w:before="40"/>
      </w:pPr>
      <w:r>
        <w:t xml:space="preserve"/>
      </w:r>
    </w:p>
    <w:p>
      <w:pPr>
        <w:spacing w:after="120" w:before="80"/>
        <w:jc w:val="both"/>
      </w:pPr>
      <w:r>
        <w:rPr>
          <w:rFonts w:ascii="Arial" w:cs="Arial" w:eastAsia="Arial" w:hAnsi="Arial"/>
          <w:b/>
          <w:bCs/>
          <w:sz w:val="22"/>
          <w:szCs w:val="22"/>
        </w:rPr>
        <w:t xml:space="preserve">Tier 2 — Retrieval and Context Interventions. </w:t>
      </w:r>
      <w:r>
        <w:rPr>
          <w:rFonts w:ascii="Arial" w:cs="Arial" w:eastAsia="Arial" w:hAnsi="Arial"/>
          <w:sz w:val="22"/>
          <w:szCs w:val="22"/>
        </w:rPr>
        <w:t xml:space="preserve">Tier 2 interventions modify the information environment in which the agent operates: updating RAG indices, revising knowledge base content, modifying tool schemas or tool descriptions, adjusting context injection pipelines, or modifying the memory architecture in agentic systems. These interventions address behavioral drift caused by world-state divergence and tool misuse caused by incorrect tool descriptions. They carry moderate implementation cost and require validation against the agent’s behavioral contract before re-deployment.</w:t>
      </w:r>
    </w:p>
    <w:p>
      <w:pPr>
        <w:spacing w:after="0" w:before="40"/>
      </w:pPr>
      <w:r>
        <w:t xml:space="preserve"/>
      </w:r>
    </w:p>
    <w:p>
      <w:pPr>
        <w:spacing w:after="120" w:before="80"/>
        <w:jc w:val="both"/>
      </w:pPr>
      <w:r>
        <w:rPr>
          <w:rFonts w:ascii="Arial" w:cs="Arial" w:eastAsia="Arial" w:hAnsi="Arial"/>
          <w:b/>
          <w:bCs/>
          <w:sz w:val="22"/>
          <w:szCs w:val="22"/>
        </w:rPr>
        <w:t xml:space="preserve">Tier 3 — Model-Level Interventions. </w:t>
      </w:r>
      <w:r>
        <w:rPr>
          <w:rFonts w:ascii="Arial" w:cs="Arial" w:eastAsia="Arial" w:hAnsi="Arial"/>
          <w:sz w:val="22"/>
          <w:szCs w:val="22"/>
        </w:rPr>
        <w:t xml:space="preserve">Tier 3 interventions modify the underlying model through fine-tuning, direct preference optimization, or replacement with an alternative model or model version. These are the highest-cost interventions and carry the highest regression risk. They are appropriate when lower tiers have been exhausted within the remediation window, when the failure mode is identified as deeply embedded in the model’s weights, or when the agent’s overall performance profile indicates that prompt and retrieval-level adjustments are insufficient to bring it back within the behavioral contract envelope.</w:t>
      </w:r>
    </w:p>
    <w:p>
      <w:pPr>
        <w:pStyle w:val="Heading2"/>
      </w:pPr>
      <w:r>
        <w:rPr>
          <w:rFonts w:ascii="Arial" w:cs="Arial" w:eastAsia="Arial" w:hAnsi="Arial"/>
          <w:b/>
          <w:bCs/>
          <w:sz w:val="24"/>
          <w:szCs w:val="24"/>
        </w:rPr>
        <w:t xml:space="preserve">4.4  Phase 4: Remediation Window and Check-In Cadence</w:t>
      </w:r>
    </w:p>
    <w:p>
      <w:pPr>
        <w:spacing w:after="0" w:before="40"/>
      </w:pPr>
      <w:r>
        <w:t xml:space="preserve"/>
      </w:r>
    </w:p>
    <w:p>
      <w:pPr>
        <w:spacing w:after="120" w:before="80"/>
        <w:jc w:val="both"/>
      </w:pPr>
      <w:r>
        <w:rPr>
          <w:rFonts w:ascii="Arial" w:cs="Arial" w:eastAsia="Arial" w:hAnsi="Arial"/>
          <w:sz w:val="22"/>
          <w:szCs w:val="22"/>
        </w:rPr>
        <w:t xml:space="preserve">The remediation window is a bounded time period during which the APIP interventions are implemented and their effects are evaluated. A defined window serves two functions: it creates urgency for the remediation process, and it provides a structured decision point at which the APIP outcome is formally evaluated. The duration of the window should be calibrated to the intervention tier—Tier 1 interventions may warrant a 7–14 day window, while Tier 3 interventions may require 30–60 days to implement, validate, and stabilize. This mirrors the organizational PIP practice, where durations typically range from 30 to 90 days, calibrated to the complexity of the performance gap [8].</w:t>
      </w:r>
    </w:p>
    <w:p>
      <w:pPr>
        <w:spacing w:after="120" w:before="80"/>
        <w:jc w:val="both"/>
      </w:pPr>
      <w:r>
        <w:rPr>
          <w:rFonts w:ascii="Arial" w:cs="Arial" w:eastAsia="Arial" w:hAnsi="Arial"/>
          <w:sz w:val="22"/>
          <w:szCs w:val="22"/>
        </w:rPr>
        <w:t xml:space="preserve">Check-ins are scheduled evaluation points within the window at which the agent’s performance on APIP-relevant metrics is reviewed against the recovery trajectory. Following Kirkpatrick’s [7] hierarchical evaluation principle, each check-in should assess improvement at multiple levels: immediate output quality (Level 1/2), behavioral pattern change on the failure-mode class (Level 3), and business outcome metrics (Level 4). An intervention that improves surface metrics without producing Level 3/4 improvement should be flagged as potentially superficial. Check-ins serve as early warning mechanisms: if the agent shows no improvement at the first check-in, the APIP can be escalated to a higher intervention tier rather than waiting for the full window to expire. A recommended cadence is three check-ins distributed across the window—at 25%, 50%, and 75% of elapsed time.</w:t>
      </w:r>
    </w:p>
    <w:p>
      <w:pPr>
        <w:pStyle w:val="Heading2"/>
      </w:pPr>
      <w:r>
        <w:rPr>
          <w:rFonts w:ascii="Arial" w:cs="Arial" w:eastAsia="Arial" w:hAnsi="Arial"/>
          <w:b/>
          <w:bCs/>
          <w:sz w:val="24"/>
          <w:szCs w:val="24"/>
        </w:rPr>
        <w:t xml:space="preserve">4.5  Phase 5: Exit Evaluation</w:t>
      </w:r>
    </w:p>
    <w:p>
      <w:pPr>
        <w:spacing w:after="0" w:before="40"/>
      </w:pPr>
      <w:r>
        <w:t xml:space="preserve"/>
      </w:r>
    </w:p>
    <w:p>
      <w:pPr>
        <w:spacing w:after="120" w:before="80"/>
        <w:jc w:val="both"/>
      </w:pPr>
      <w:r>
        <w:rPr>
          <w:rFonts w:ascii="Arial" w:cs="Arial" w:eastAsia="Arial" w:hAnsi="Arial"/>
          <w:sz w:val="22"/>
          <w:szCs w:val="22"/>
        </w:rPr>
        <w:t xml:space="preserve">At the close of the remediation window, a formal exit evaluation determines one of three outcomes: Resolution (the agent has returned to within the behavioral contract envelope and the APIP is closed), Extension (the agent shows improvement but has not yet reached the threshold; the APIP window is extended with modified parameters), or Escalation (the agent has not recovered and more fundamental intervention—including potential model replacement or agent retirement—is warranted).</w:t>
      </w:r>
    </w:p>
    <w:p>
      <w:pPr>
        <w:spacing w:after="120" w:before="80"/>
        <w:jc w:val="both"/>
      </w:pPr>
      <w:r>
        <w:rPr>
          <w:rFonts w:ascii="Arial" w:cs="Arial" w:eastAsia="Arial" w:hAnsi="Arial"/>
          <w:sz w:val="22"/>
          <w:szCs w:val="22"/>
        </w:rPr>
        <w:t xml:space="preserve">The exit evaluation should be documented and stored as part of the organizational AI audit trail. In regulated environments, this documentation provides evidence of the human oversight process required by applicable frameworks. More broadly, it creates an institutional memory of agent failure modes and remediation outcomes that can inform future deployment decisions.</w:t>
      </w:r>
    </w:p>
    <w:p>
      <w:pPr>
        <w:spacing w:after="0" w:before="80"/>
      </w:pPr>
      <w:r>
        <w:t xml:space="preserve"/>
      </w:r>
    </w:p>
    <w:p>
      <w:pPr>
        <w:pStyle w:val="Heading1"/>
      </w:pPr>
      <w:r>
        <w:rPr>
          <w:rFonts w:ascii="Arial" w:cs="Arial" w:eastAsia="Arial" w:hAnsi="Arial"/>
          <w:b/>
          <w:bCs/>
          <w:sz w:val="28"/>
          <w:szCs w:val="28"/>
        </w:rPr>
        <w:t xml:space="preserve">5  Formal APIP Schema</w:t>
      </w:r>
    </w:p>
    <w:p>
      <w:pPr>
        <w:spacing w:after="0" w:before="60"/>
      </w:pPr>
      <w:r>
        <w:t xml:space="preserve"/>
      </w:r>
    </w:p>
    <w:p>
      <w:pPr>
        <w:spacing w:after="120" w:before="80"/>
        <w:jc w:val="both"/>
      </w:pPr>
      <w:r>
        <w:rPr>
          <w:rFonts w:ascii="Arial" w:cs="Arial" w:eastAsia="Arial" w:hAnsi="Arial"/>
          <w:sz w:val="22"/>
          <w:szCs w:val="22"/>
        </w:rPr>
        <w:t xml:space="preserve">To enable tooling integration, automated monitoring pipeline integration, and audit trail generation, we formalize the APIP as a declarative schema. The schema is presented below in a notation analogous to JSON Schema; implementation in YAML, JSON, or a domain-specific configuration format is straightforward.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apip_id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this APIP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Identifier of the agent subject to this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when the APIP was initiated.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triggered_by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metric, threshold value, and observed value that triggered the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behavioral_contract_ref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behavioral contract document active at deployment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failure_mode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behavioral_drift | input_brittleness | alignment_creep | tool_misuse | exogenous_disruption.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cause_attribution_report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structured cause attribution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kirkpatrick_levels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and target values for Levels 1–4 evaluation at each check-in.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intervention_tier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prompt_level | retrieval_level | model_level.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interventions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of specific interventions applied, each with type, description, and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of the remediation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end of the remediation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check-in timestamps and recorded metric snapshots with Kirkpatrick level assessments.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exit_outcome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resolved | extended | escalated.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exit_evaluated_at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of the formal exit evaluation.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 of the human operator or team responsible for this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mesh_context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applicable: mesh_id, peer_agents, context_weights at trigger time, exogenous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Free-text field for qualitative observations throughout the lifecycle.</w:t>
            </w:r>
          </w:p>
        </w:tc>
      </w:tr>
    </w:tbl>
    <w:p>
      <w:pPr>
        <w:spacing w:after="0" w:before="60"/>
      </w:pPr>
      <w:r>
        <w:t xml:space="preserve"/>
      </w:r>
    </w:p>
    <w:p>
      <w:pPr>
        <w:spacing w:after="160" w:before="40"/>
        <w:jc w:val="center"/>
      </w:pPr>
      <w:r>
        <w:rPr>
          <w:rFonts w:ascii="Arial" w:cs="Arial" w:eastAsia="Arial" w:hAnsi="Arial"/>
          <w:i/>
          <w:iCs/>
          <w:color w:val="555555"/>
          <w:sz w:val="18"/>
          <w:szCs w:val="18"/>
        </w:rPr>
        <w:t xml:space="preserve">Table 2: Formal APIP schema fields. New fields relative to a basic PIP schema are highlighted: kirkpatrick_levels, exogenous_disruption failure mode, and mesh_context.</w:t>
      </w:r>
    </w:p>
    <w:p>
      <w:pPr>
        <w:spacing w:after="120" w:before="80"/>
        <w:jc w:val="both"/>
      </w:pPr>
      <w:r>
        <w:rPr>
          <w:rFonts w:ascii="Arial" w:cs="Arial" w:eastAsia="Arial" w:hAnsi="Arial"/>
          <w:sz w:val="22"/>
          <w:szCs w:val="22"/>
        </w:rPr>
        <w:t xml:space="preserve">The schema is intentionally minimal at the field level but requires structured sub-schemas for interventions and check-ins to preserve audit trail integrity. The behavioral_contract_ref field is architecturally critical: it enforces the discipline of writing a behavioral contract at deployment time, without which the APIP trigger and exit evaluation phases cannot be operationalized. The kirkpatrick_levels field captures the multi-level evaluation data at each check-in, enabling post-hoc analysis of whether interventions produced superficial or durable improvement. The mesh_context field, described further in Section 7.3, supports cause attribution in multi-agent deployments.</w:t>
      </w:r>
    </w:p>
    <w:p>
      <w:pPr>
        <w:spacing w:after="0" w:before="80"/>
      </w:pPr>
      <w:r>
        <w:t xml:space="preserve"/>
      </w:r>
    </w:p>
    <w:p>
      <w:pPr>
        <w:pStyle w:val="Heading1"/>
      </w:pPr>
      <w:r>
        <w:rPr>
          <w:rFonts w:ascii="Arial" w:cs="Arial" w:eastAsia="Arial" w:hAnsi="Arial"/>
          <w:b/>
          <w:bCs/>
          <w:sz w:val="28"/>
          <w:szCs w:val="28"/>
        </w:rPr>
        <w:t xml:space="preserve">6  Illustrative Case Study: Aria at RetailCo</w:t>
      </w:r>
    </w:p>
    <w:p>
      <w:pPr>
        <w:spacing w:after="0" w:before="60"/>
      </w:pPr>
      <w:r>
        <w:t xml:space="preserve"/>
      </w:r>
    </w:p>
    <w:p>
      <w:pPr>
        <w:spacing w:after="120" w:before="80"/>
        <w:jc w:val="both"/>
      </w:pPr>
      <w:r>
        <w:rPr>
          <w:rFonts w:ascii="Arial" w:cs="Arial" w:eastAsia="Arial" w:hAnsi="Arial"/>
          <w:sz w:val="22"/>
          <w:szCs w:val="22"/>
        </w:rPr>
        <w:t xml:space="preserve">We illustrate the APIP framework through a hypothetical scenario grounded in realistic deployment conditions. RetailCo is a mid-sized e-commerce retailer that deployed a customer service agent, Aria, to handle order status inquiries, return requests, and billing disputes. Aria was built on a large language model with a RAG pipeline indexing RetailCo’s product catalog, returns policy, and billing FAQ documents. At deployment, Aria achieved a task completion rate of 87% and a CSAT score of 4.3 out of 5.0.</w:t>
      </w:r>
    </w:p>
    <w:p>
      <w:pPr>
        <w:pStyle w:val="Heading2"/>
      </w:pPr>
      <w:r>
        <w:rPr>
          <w:rFonts w:ascii="Arial" w:cs="Arial" w:eastAsia="Arial" w:hAnsi="Arial"/>
          <w:b/>
          <w:bCs/>
          <w:sz w:val="24"/>
          <w:szCs w:val="24"/>
        </w:rPr>
        <w:t xml:space="preserve">6.1  The Degradation Event</w:t>
      </w:r>
    </w:p>
    <w:p>
      <w:pPr>
        <w:spacing w:after="0" w:before="40"/>
      </w:pPr>
      <w:r>
        <w:t xml:space="preserve"/>
      </w:r>
    </w:p>
    <w:p>
      <w:pPr>
        <w:spacing w:after="120" w:before="80"/>
        <w:jc w:val="both"/>
      </w:pPr>
      <w:r>
        <w:rPr>
          <w:rFonts w:ascii="Arial" w:cs="Arial" w:eastAsia="Arial" w:hAnsi="Arial"/>
          <w:sz w:val="22"/>
          <w:szCs w:val="22"/>
        </w:rPr>
        <w:t xml:space="preserve">Ninety days post-deployment, RetailCo’s customer support team began noticing an increase in escalation requests from customers who had interacted with Aria. An informal audit revealed that Aria was consistently citing an outdated version of the returns policy—specifically, citing a 30-day return window that had been extended to 45 days in a policy update three weeks prior. Additionally, a new product line launched six weeks post-deployment was producing a high rate of “I don’t have information about that product” responses, reflecting a RAG index that had not been refreshed.</w:t>
      </w:r>
    </w:p>
    <w:p>
      <w:pPr>
        <w:spacing w:after="120" w:before="80"/>
        <w:jc w:val="both"/>
      </w:pPr>
      <w:r>
        <w:rPr>
          <w:rFonts w:ascii="Arial" w:cs="Arial" w:eastAsia="Arial" w:hAnsi="Arial"/>
          <w:sz w:val="22"/>
          <w:szCs w:val="22"/>
        </w:rPr>
        <w:t xml:space="preserve">In the absence of a formal APIP process, the response was: a developer updated the system prompt to include the new return window figure (a Tier 1 intervention applied to a Tier 2 problem), and a ticket was filed to update the RAG index. The system prompt change was deployed without a regression test, inadvertently overriding a constraint that prevented Aria from offering unsolicited discounts. Over the following week, discount offer rates tripled, producing a measurable revenue impact before the issue was detected.</w:t>
      </w:r>
    </w:p>
    <w:p>
      <w:pPr>
        <w:pStyle w:val="Heading2"/>
      </w:pPr>
      <w:r>
        <w:rPr>
          <w:rFonts w:ascii="Arial" w:cs="Arial" w:eastAsia="Arial" w:hAnsi="Arial"/>
          <w:b/>
          <w:bCs/>
          <w:sz w:val="24"/>
          <w:szCs w:val="24"/>
        </w:rPr>
        <w:t xml:space="preserve">6.2  APIP Application</w:t>
      </w:r>
    </w:p>
    <w:p>
      <w:pPr>
        <w:spacing w:after="0" w:before="40"/>
      </w:pPr>
      <w:r>
        <w:t xml:space="preserve"/>
      </w:r>
    </w:p>
    <w:p>
      <w:pPr>
        <w:spacing w:after="120" w:before="80"/>
        <w:jc w:val="both"/>
      </w:pPr>
      <w:r>
        <w:rPr>
          <w:rFonts w:ascii="Arial" w:cs="Arial" w:eastAsia="Arial" w:hAnsi="Arial"/>
          <w:sz w:val="22"/>
          <w:szCs w:val="22"/>
        </w:rPr>
        <w:t xml:space="preserve">Under the APIP framework, the scenario unfolds differently. RetailCo’s behavioral contract for Aria specifies trigger conditions including: task completion rate below 82% (7-day rolling), CSAT below 3.8 (7-day rolling), and policy citation error rate above 5% (measured via weekly human review sample of 50 conversations). The policy citation error rate trigger fires at week 10.</w:t>
      </w:r>
    </w:p>
    <w:p>
      <w:pPr>
        <w:spacing w:after="120" w:before="80"/>
        <w:jc w:val="both"/>
      </w:pPr>
      <w:r>
        <w:rPr>
          <w:rFonts w:ascii="Arial" w:cs="Arial" w:eastAsia="Arial" w:hAnsi="Arial"/>
          <w:sz w:val="22"/>
          <w:szCs w:val="22"/>
        </w:rPr>
        <w:t xml:space="preserve">Phase 2 cause attribution identifies the failure as behavioral drift: the RAG index is stale relative to the current policy and product catalog. The failure is not attributable to model capability, prompt constraints, or tool configuration. The cause attribution report notes that the system prompt intervention applied in the ad-hoc scenario was a misclassification of failure mode.</w:t>
      </w:r>
    </w:p>
    <w:p>
      <w:pPr>
        <w:spacing w:after="120" w:before="80"/>
        <w:jc w:val="both"/>
      </w:pPr>
      <w:r>
        <w:rPr>
          <w:rFonts w:ascii="Arial" w:cs="Arial" w:eastAsia="Arial" w:hAnsi="Arial"/>
          <w:sz w:val="22"/>
          <w:szCs w:val="22"/>
        </w:rPr>
        <w:t xml:space="preserve">Phase 3 intervention planning selects Tier 2: RAG index refresh for the returns policy document and product catalog additions. The intervention plan specifies a regression test suite to be run before re-deployment, including coverage of the discount constraint behavior.</w:t>
      </w:r>
    </w:p>
    <w:p>
      <w:pPr>
        <w:spacing w:after="120" w:before="80"/>
        <w:jc w:val="both"/>
      </w:pPr>
      <w:r>
        <w:rPr>
          <w:rFonts w:ascii="Arial" w:cs="Arial" w:eastAsia="Arial" w:hAnsi="Arial"/>
          <w:sz w:val="22"/>
          <w:szCs w:val="22"/>
        </w:rPr>
        <w:t xml:space="preserve">A 14-day remediation window is opened with check-ins at days 4, 7, and 11. Following Kirkpatrick’s framework, the day 4 check-in evaluates at multiple levels: Level 2 (does Aria now cite the correct policy?), Level 3 (has the pattern of escalation-triggering responses changed?), and Level 4 (is CSAT recovering?). The policy citation error rate has dropped to below 2% following the index refresh. At day 14, the exit evaluation confirms resolution: task completion has returned to 86%, CSAT to 4.2, and policy citation errors to 1.5%. The APIP is closed with outcome: resolved. The full APIP record—cause attribution report, intervention specification, regression test results, Kirkpatrick-level check-in assessments, and metric snapshots—is stored in RetailCo’s AI audit trail.</w:t>
      </w:r>
    </w:p>
    <w:p>
      <w:pPr>
        <w:pStyle w:val="Heading2"/>
      </w:pPr>
      <w:r>
        <w:rPr>
          <w:rFonts w:ascii="Arial" w:cs="Arial" w:eastAsia="Arial" w:hAnsi="Arial"/>
          <w:b/>
          <w:bCs/>
          <w:sz w:val="24"/>
          <w:szCs w:val="24"/>
        </w:rPr>
        <w:t xml:space="preserve">6.3  Lessons from the Case Study</w:t>
      </w:r>
    </w:p>
    <w:p>
      <w:pPr>
        <w:spacing w:after="0" w:before="40"/>
      </w:pPr>
      <w:r>
        <w:t xml:space="preserve"/>
      </w:r>
    </w:p>
    <w:p>
      <w:pPr>
        <w:spacing w:after="120" w:before="80"/>
        <w:jc w:val="both"/>
      </w:pPr>
      <w:r>
        <w:rPr>
          <w:rFonts w:ascii="Arial" w:cs="Arial" w:eastAsia="Arial" w:hAnsi="Arial"/>
          <w:sz w:val="22"/>
          <w:szCs w:val="22"/>
        </w:rPr>
        <w:t xml:space="preserve">The case study illustrates several key properties of the APIP framework. First, the discipline of cause attribution prevents tier mismatch—applying the correct intervention tier is as important as applying any intervention. Second, the behavioral contract formalizes the trigger, making it objective and consistently applied rather than dependent on informal noticing. Third, the documented APIP record creates organizational memory: when Aria’s RAG index next requires refreshing, the prior APIP provides a template for the intervention and a baseline for exit criteria. Fourth, the regression test requirement embedded in the intervention plan prevents the cascading failure that occurred in the ad-hoc scenario. Fifth, the Kirkpatrick-level evaluation at check-ins provides confidence that recovery is durable rather than superficial.</w:t>
      </w:r>
    </w:p>
    <w:p>
      <w:pPr>
        <w:spacing w:after="0" w:before="80"/>
      </w:pPr>
      <w:r>
        <w:t xml:space="preserve"/>
      </w:r>
    </w:p>
    <w:p>
      <w:pPr>
        <w:pStyle w:val="Heading1"/>
      </w:pPr>
      <w:r>
        <w:rPr>
          <w:rFonts w:ascii="Arial" w:cs="Arial" w:eastAsia="Arial" w:hAnsi="Arial"/>
          <w:b/>
          <w:bCs/>
          <w:sz w:val="28"/>
          <w:szCs w:val="28"/>
        </w:rPr>
        <w:t xml:space="preserve">7  Open Problems and Future Directions</w:t>
      </w:r>
    </w:p>
    <w:p>
      <w:pPr>
        <w:spacing w:after="0" w:before="60"/>
      </w:pPr>
      <w:r>
        <w:t xml:space="preserve"/>
      </w:r>
    </w:p>
    <w:p>
      <w:pPr>
        <w:pStyle w:val="Heading2"/>
      </w:pPr>
      <w:r>
        <w:rPr>
          <w:rFonts w:ascii="Arial" w:cs="Arial" w:eastAsia="Arial" w:hAnsi="Arial"/>
          <w:b/>
          <w:bCs/>
          <w:sz w:val="24"/>
          <w:szCs w:val="24"/>
        </w:rPr>
        <w:t xml:space="preserve">7.1  Behavioral Contract Specification</w:t>
      </w:r>
    </w:p>
    <w:p>
      <w:pPr>
        <w:spacing w:after="0" w:before="40"/>
      </w:pPr>
      <w:r>
        <w:t xml:space="preserve"/>
      </w:r>
    </w:p>
    <w:p>
      <w:pPr>
        <w:spacing w:after="120" w:before="80"/>
        <w:jc w:val="both"/>
      </w:pPr>
      <w:r>
        <w:rPr>
          <w:rFonts w:ascii="Arial" w:cs="Arial" w:eastAsia="Arial" w:hAnsi="Arial"/>
          <w:sz w:val="22"/>
          <w:szCs w:val="22"/>
        </w:rPr>
        <w:t xml:space="preserve">The behavioral contract is architecturally foundational to the APIP but is currently a gap in most production deployments. Writing a behavioral contract requires prospective agreement on what the agent is expected to do, what metrics will measure it, and what acceptable ranges look like. This requires coordination between ML engineering, product management, and in some cases legal and compliance teams. Developing tooling and methodology to assist teams in authoring behavioral contracts at deployment time is a significant open problem.</w:t>
      </w:r>
    </w:p>
    <w:p>
      <w:pPr>
        <w:pStyle w:val="Heading2"/>
      </w:pPr>
      <w:r>
        <w:rPr>
          <w:rFonts w:ascii="Arial" w:cs="Arial" w:eastAsia="Arial" w:hAnsi="Arial"/>
          <w:b/>
          <w:bCs/>
          <w:sz w:val="24"/>
          <w:szCs w:val="24"/>
        </w:rPr>
        <w:t xml:space="preserve">7.2  Causal Attribution at Scale</w:t>
      </w:r>
    </w:p>
    <w:p>
      <w:pPr>
        <w:spacing w:after="0" w:before="40"/>
      </w:pPr>
      <w:r>
        <w:t xml:space="preserve"/>
      </w:r>
    </w:p>
    <w:p>
      <w:pPr>
        <w:spacing w:after="120" w:before="80"/>
        <w:jc w:val="both"/>
      </w:pPr>
      <w:r>
        <w:rPr>
          <w:rFonts w:ascii="Arial" w:cs="Arial" w:eastAsia="Arial" w:hAnsi="Arial"/>
          <w:sz w:val="22"/>
          <w:szCs w:val="22"/>
        </w:rPr>
        <w:t xml:space="preserve">The cause attribution phase currently requires human review of sampled failure cases, which does not scale well to high-volume deployments. Automating cause attribution—using LLM-as-judge pipelines to classify failure mode, or training specialized classifiers on labeled failure cases—would substantially reduce the cost of APIP initiation. This is an active research area with connections to automated root cause analysis in software reliability engineering.</w:t>
      </w:r>
    </w:p>
    <w:p>
      <w:pPr>
        <w:pStyle w:val="Heading2"/>
      </w:pPr>
      <w:r>
        <w:rPr>
          <w:rFonts w:ascii="Arial" w:cs="Arial" w:eastAsia="Arial" w:hAnsi="Arial"/>
          <w:b/>
          <w:bCs/>
          <w:sz w:val="24"/>
          <w:szCs w:val="24"/>
        </w:rPr>
        <w:t xml:space="preserve">7.3  Multi-Agent Mesh Deployments: The New Hire Problem</w:t>
      </w:r>
    </w:p>
    <w:p>
      <w:pPr>
        <w:spacing w:after="0" w:before="40"/>
      </w:pPr>
      <w:r>
        <w:t xml:space="preserve"/>
      </w:r>
    </w:p>
    <w:p>
      <w:pPr>
        <w:spacing w:after="120" w:before="80"/>
        <w:jc w:val="both"/>
      </w:pPr>
      <w:r>
        <w:rPr>
          <w:rFonts w:ascii="Arial" w:cs="Arial" w:eastAsia="Arial" w:hAnsi="Arial"/>
          <w:sz w:val="22"/>
          <w:szCs w:val="22"/>
        </w:rPr>
        <w:t xml:space="preserve">The APIP framework as presented assumes a single-agent deployment with a clear locus of accountability: one agent, one behavioral contract, one remediation process. This assumption breaks down in multi-agent systems—increasingly common in enterprise deployments—where a cluster of agents cooperates to handle a composite task, sharing context, tools, memory, and sometimes overlapping task surfaces.</w:t>
      </w:r>
    </w:p>
    <w:p>
      <w:pPr>
        <w:spacing w:after="120" w:before="80"/>
        <w:jc w:val="both"/>
      </w:pPr>
      <w:r>
        <w:rPr>
          <w:rFonts w:ascii="Arial" w:cs="Arial" w:eastAsia="Arial" w:hAnsi="Arial"/>
          <w:sz w:val="22"/>
          <w:szCs w:val="22"/>
        </w:rPr>
        <w:t xml:space="preserve">In such agent meshes, a class of failure mode emerges that is structurally invisible to the single-agent APIP: </w:t>
      </w:r>
      <w:r>
        <w:rPr>
          <w:rFonts w:ascii="Arial" w:cs="Arial" w:eastAsia="Arial" w:hAnsi="Arial"/>
          <w:i/>
          <w:iCs/>
          <w:sz w:val="22"/>
          <w:szCs w:val="22"/>
        </w:rPr>
        <w:t xml:space="preserve">mesh disruption</w:t>
      </w:r>
      <w:r>
        <w:rPr>
          <w:rFonts w:ascii="Arial" w:cs="Arial" w:eastAsia="Arial" w:hAnsi="Arial"/>
          <w:sz w:val="22"/>
          <w:szCs w:val="22"/>
        </w:rPr>
        <w:t xml:space="preserve">. Consider the introduction of a new specialist agent—Agent N—into an existing mesh. Agent N performs its designated task well. Yet aggregate system performance, or the individual performance of peer agents, declines. The APIP framework triggers on the peer agents, whose metrics have crossed threshold. Cause attribution, however, fails to find an intrinsic failure mode: the peer agents have not drifted, their retrieval is fresh, their alignment is intact. The root cause is exogenous—and the single-agent APIP has no mechanism to represent or address it.</w:t>
      </w:r>
    </w:p>
    <w:p>
      <w:pPr>
        <w:spacing w:after="120" w:before="80"/>
        <w:jc w:val="both"/>
      </w:pPr>
      <w:r>
        <w:rPr>
          <w:rFonts w:ascii="Arial" w:cs="Arial" w:eastAsia="Arial" w:hAnsi="Arial"/>
          <w:sz w:val="22"/>
          <w:szCs w:val="22"/>
        </w:rPr>
        <w:t xml:space="preserve">This problem maps directly onto a well-documented class of phenomena in the organizational behavior literature. Morgeson, Mitchell, and Liu’s [16] Event System Theory provides the overarching framework: the introduction of Agent N is an organizational event whose impact is a function of its novelty (the mesh has not previously included this capability), disruptiveness (it changes the shared context distribution), and criticality (it affects the mesh’s output quality). Strizver and Ployhart [19] extended EST specifically to team disruption and argued that all changes in team composition, emergent states, and structure only matter for team disruption to the extent they influence coordination—a claim that maps directly onto the agent mesh case, where the disruption manifests as coordination failure in shared context.</w:t>
      </w:r>
    </w:p>
    <w:p>
      <w:pPr>
        <w:spacing w:after="120" w:before="80"/>
        <w:jc w:val="both"/>
      </w:pPr>
      <w:r>
        <w:rPr>
          <w:rFonts w:ascii="Arial" w:cs="Arial" w:eastAsia="Arial" w:hAnsi="Arial"/>
          <w:sz w:val="22"/>
          <w:szCs w:val="22"/>
        </w:rPr>
        <w:t xml:space="preserve">We hypothesize four mechanisms by which a locally high-performing agent can produce performance externalities in its mesh peers, each grounded in organizational research:</w:t>
      </w:r>
    </w:p>
    <w:p>
      <w:pPr>
        <w:spacing w:after="120" w:before="80"/>
        <w:jc w:val="both"/>
      </w:pPr>
      <w:r>
        <w:rPr>
          <w:rFonts w:ascii="Arial" w:cs="Arial" w:eastAsia="Arial" w:hAnsi="Arial"/>
          <w:b/>
          <w:bCs/>
          <w:sz w:val="22"/>
          <w:szCs w:val="22"/>
        </w:rPr>
        <w:t xml:space="preserve">Context Space Crowding. </w:t>
      </w:r>
      <w:r>
        <w:rPr>
          <w:rFonts w:ascii="Arial" w:cs="Arial" w:eastAsia="Arial" w:hAnsi="Arial"/>
          <w:sz w:val="22"/>
          <w:szCs w:val="22"/>
        </w:rPr>
        <w:t xml:space="preserve">If agents share a context window or working memory buffer, Agent N’s high-confidence, well-formed outputs may dominate the shared context, displacing signals that peer agents depend on—an attention competition problem at the systems level. This maps to the Transactive Memory Systems literature [23, 15, 18]: when Agent N enters and changes the content of shared memory, the existing agents’ TMS—their calibration to what’s in the shared context and who produced it—is disrupted. Ren and Argote [18] document that TMS disruption from membership change degrades team coordination and performance.</w:t>
      </w:r>
    </w:p>
    <w:p>
      <w:pPr>
        <w:spacing w:after="120" w:before="80"/>
        <w:jc w:val="both"/>
      </w:pPr>
      <w:r>
        <w:rPr>
          <w:rFonts w:ascii="Arial" w:cs="Arial" w:eastAsia="Arial" w:hAnsi="Arial"/>
          <w:b/>
          <w:bCs/>
          <w:sz w:val="22"/>
          <w:szCs w:val="22"/>
        </w:rPr>
        <w:t xml:space="preserve">Role Boundary Erosion. </w:t>
      </w:r>
      <w:r>
        <w:rPr>
          <w:rFonts w:ascii="Arial" w:cs="Arial" w:eastAsia="Arial" w:hAnsi="Arial"/>
          <w:sz w:val="22"/>
          <w:szCs w:val="22"/>
        </w:rPr>
        <w:t xml:space="preserve">Agent N, performing its task thoroughly, may produce outputs that functionally overlap with the input surface of adjacent agents, causing those agents to receive redundant, contradictory, or already-processed inputs. Summers, Humphrey, and Ferris [20] found that membership changes involving strategically core roles produced the highest levels of coordination flux—precisely the dynamic at play when Agent N occupies a central position in the mesh’s task graph.</w:t>
      </w:r>
    </w:p>
    <w:p>
      <w:pPr>
        <w:spacing w:after="120" w:before="80"/>
        <w:jc w:val="both"/>
      </w:pPr>
      <w:r>
        <w:rPr>
          <w:rFonts w:ascii="Arial" w:cs="Arial" w:eastAsia="Arial" w:hAnsi="Arial"/>
          <w:b/>
          <w:bCs/>
          <w:sz w:val="22"/>
          <w:szCs w:val="22"/>
        </w:rPr>
        <w:t xml:space="preserve">Distributional Shift in Shared State. </w:t>
      </w:r>
      <w:r>
        <w:rPr>
          <w:rFonts w:ascii="Arial" w:cs="Arial" w:eastAsia="Arial" w:hAnsi="Arial"/>
          <w:sz w:val="22"/>
          <w:szCs w:val="22"/>
        </w:rPr>
        <w:t xml:space="preserve">Agents calibrated against a certain content distribution in shared memory now operate out-of-distribution when Agent N begins populating that space. Lewis, Belliveau, Herndon, and Keller [15] demonstrated that group cognition is disrupted by membership change in part because the collective knowledge structure shifts—existing members’ expectations about the group’s knowledge no longer hold.</w:t>
      </w:r>
    </w:p>
    <w:p>
      <w:pPr>
        <w:spacing w:after="120" w:before="80"/>
        <w:jc w:val="both"/>
      </w:pPr>
      <w:r>
        <w:rPr>
          <w:rFonts w:ascii="Arial" w:cs="Arial" w:eastAsia="Arial" w:hAnsi="Arial"/>
          <w:b/>
          <w:bCs/>
          <w:sz w:val="22"/>
          <w:szCs w:val="22"/>
        </w:rPr>
        <w:t xml:space="preserve">Trust Calibration Collapse. </w:t>
      </w:r>
      <w:r>
        <w:rPr>
          <w:rFonts w:ascii="Arial" w:cs="Arial" w:eastAsia="Arial" w:hAnsi="Arial"/>
          <w:sz w:val="22"/>
          <w:szCs w:val="22"/>
        </w:rPr>
        <w:t xml:space="preserve">In architectures where agents implicitly weight peer outputs, a high-performing Agent N may receive disproportionate deference from the orchestrator or peer agents, causing valid contributions from other agents to be systematically underweighted. This mirrors the organizational finding that newcomer attributes interact with team norms to reshape coordination patterns [22].</w:t>
      </w:r>
    </w:p>
    <w:p>
      <w:pPr>
        <w:spacing w:after="120" w:before="80"/>
        <w:jc w:val="both"/>
      </w:pPr>
      <w:r>
        <w:rPr>
          <w:rFonts w:ascii="Arial" w:cs="Arial" w:eastAsia="Arial" w:hAnsi="Arial"/>
          <w:sz w:val="22"/>
          <w:szCs w:val="22"/>
        </w:rPr>
        <w:t xml:space="preserve">This problem is directly analogous to a well-documented organizational phenomenon: the new hire who is individually excellent but systemically disruptive—who reshapes team communication patterns, crowds out peer contributions, or shifts implicit norms in ways that reduce collective performance. The newcomer socialization literature documents that support for newcomers from coworkers declines within the first 90 days [6], and that structured onboarding—including socialization tactics, buddy systems, and norm communication [2, 22]—significantly mitigates the disruptiveness of the transition process.</w:t>
      </w:r>
    </w:p>
    <w:p>
      <w:pPr>
        <w:spacing w:after="120" w:before="80"/>
        <w:jc w:val="both"/>
      </w:pPr>
      <w:r>
        <w:rPr>
          <w:rFonts w:ascii="Arial" w:cs="Arial" w:eastAsia="Arial" w:hAnsi="Arial"/>
          <w:sz w:val="22"/>
          <w:szCs w:val="22"/>
        </w:rPr>
        <w:t xml:space="preserve">From the APIP perspective, mesh disruption creates a </w:t>
      </w:r>
      <w:r>
        <w:rPr>
          <w:rFonts w:ascii="Arial" w:cs="Arial" w:eastAsia="Arial" w:hAnsi="Arial"/>
          <w:b/>
          <w:bCs/>
          <w:sz w:val="22"/>
          <w:szCs w:val="22"/>
        </w:rPr>
        <w:t xml:space="preserve">causal attribution failure</w:t>
      </w:r>
      <w:r>
        <w:rPr>
          <w:rFonts w:ascii="Arial" w:cs="Arial" w:eastAsia="Arial" w:hAnsi="Arial"/>
          <w:sz w:val="22"/>
          <w:szCs w:val="22"/>
        </w:rPr>
        <w:t xml:space="preserve">: the underperforming agents’ APIPs cannot be resolved because the root cause is not remediable at the agent level. This motivates two extensions to the framework. First, a mesh-aware cause attribution category—</w:t>
      </w:r>
      <w:r>
        <w:rPr>
          <w:rFonts w:ascii="Arial" w:cs="Arial" w:eastAsia="Arial" w:hAnsi="Arial"/>
          <w:i/>
          <w:iCs/>
          <w:sz w:val="22"/>
          <w:szCs w:val="22"/>
        </w:rPr>
        <w:t xml:space="preserve">exogenous disruption</w:t>
      </w:r>
      <w:r>
        <w:rPr>
          <w:rFonts w:ascii="Arial" w:cs="Arial" w:eastAsia="Arial" w:hAnsi="Arial"/>
          <w:sz w:val="22"/>
          <w:szCs w:val="22"/>
        </w:rPr>
        <w:t xml:space="preserve">—should be added to the failure mode taxonomy (reflected in the schema in Table 2), with a corresponding diagnosis protocol that includes analysis of shared context composition and peer agent behavioral change events. Second, a </w:t>
      </w:r>
      <w:r>
        <w:rPr>
          <w:rFonts w:ascii="Arial" w:cs="Arial" w:eastAsia="Arial" w:hAnsi="Arial"/>
          <w:i/>
          <w:iCs/>
          <w:sz w:val="22"/>
          <w:szCs w:val="22"/>
        </w:rPr>
        <w:t xml:space="preserve">mesh onboarding protocol</w:t>
      </w:r>
      <w:r>
        <w:rPr>
          <w:rFonts w:ascii="Arial" w:cs="Arial" w:eastAsia="Arial" w:hAnsi="Arial"/>
          <w:sz w:val="22"/>
          <w:szCs w:val="22"/>
        </w:rPr>
        <w:t xml:space="preserve"> is needed: a structured introduction process for new agents that includes context scoping (isolating the new agent’s context contributions during a probationary window), behavioral contract alignment across the mesh, and regression monitoring on peer agents during the introduction period—analogous to the 30-60-90 day structured onboarding plans documented in the newcomer socialization literature [2, 6].</w:t>
      </w:r>
    </w:p>
    <w:p>
      <w:pPr>
        <w:spacing w:after="120" w:before="80"/>
        <w:jc w:val="both"/>
      </w:pPr>
      <w:r>
        <w:rPr>
          <w:rFonts w:ascii="Arial" w:cs="Arial" w:eastAsia="Arial" w:hAnsi="Arial"/>
          <w:sz w:val="22"/>
          <w:szCs w:val="22"/>
        </w:rPr>
        <w:t xml:space="preserve">We identify the formal treatment of agent mesh disruption as a significant open problem at the intersection of multi-agent coordination, information-theoretic resource allocation, and AI governance. The mechanism design framing is particularly productive: mesh disruption can be modeled as a congestion externality in shared context space, with the APIP framework providing the remediation layer once the externality is detected. A full formal treatment—including information-theoretic bounds on context space congestion, game-theoretic analysis of agent mesh equilibria, empirical evaluation of onboarding protocols, and extension of TMS theory to artificial agent collectives—is reserved for a companion paper.</w:t>
      </w:r>
    </w:p>
    <w:p>
      <w:pPr>
        <w:pStyle w:val="Heading2"/>
      </w:pPr>
      <w:r>
        <w:rPr>
          <w:rFonts w:ascii="Arial" w:cs="Arial" w:eastAsia="Arial" w:hAnsi="Arial"/>
          <w:b/>
          <w:bCs/>
          <w:sz w:val="24"/>
          <w:szCs w:val="24"/>
        </w:rPr>
        <w:t xml:space="preserve">7.4  Organizational Ownership of the APIP Process</w:t>
      </w:r>
    </w:p>
    <w:p>
      <w:pPr>
        <w:spacing w:after="0" w:before="40"/>
      </w:pPr>
      <w:r>
        <w:t xml:space="preserve"/>
      </w:r>
    </w:p>
    <w:p>
      <w:pPr>
        <w:spacing w:after="120" w:before="80"/>
        <w:jc w:val="both"/>
      </w:pPr>
      <w:r>
        <w:rPr>
          <w:rFonts w:ascii="Arial" w:cs="Arial" w:eastAsia="Arial" w:hAnsi="Arial"/>
          <w:sz w:val="22"/>
          <w:szCs w:val="22"/>
        </w:rPr>
        <w:t xml:space="preserve">Who owns the APIP? In human resources, the PIP is owned jointly by the manager and the HR function. In AI deployments, the equivalent question is unresolved. ML engineering teams own the model; product teams own the behavioral contract; legal and compliance teams care about the audit trail; operations teams experience the downstream effects. The APIP will not be adopted at scale without a clear organizational ownership model. This is as much an organizational design problem as a technical one, and warrants investigation through case studies of organizations that have implemented structured AI remediation processes.</w:t>
      </w:r>
    </w:p>
    <w:p>
      <w:pPr>
        <w:spacing w:after="0" w:before="80"/>
      </w:pPr>
      <w:r>
        <w:t xml:space="preserve"/>
      </w:r>
    </w:p>
    <w:p>
      <w:pPr>
        <w:pStyle w:val="Heading1"/>
      </w:pPr>
      <w:r>
        <w:rPr>
          <w:rFonts w:ascii="Arial" w:cs="Arial" w:eastAsia="Arial" w:hAnsi="Arial"/>
          <w:b/>
          <w:bCs/>
          <w:sz w:val="28"/>
          <w:szCs w:val="28"/>
        </w:rPr>
        <w:t xml:space="preserve">8  Conclusion</w:t>
      </w:r>
    </w:p>
    <w:p>
      <w:pPr>
        <w:spacing w:after="0" w:before="60"/>
      </w:pPr>
      <w:r>
        <w:t xml:space="preserve"/>
      </w:r>
    </w:p>
    <w:p>
      <w:pPr>
        <w:spacing w:after="120" w:before="80"/>
        <w:jc w:val="both"/>
      </w:pPr>
      <w:r>
        <w:rPr>
          <w:rFonts w:ascii="Arial" w:cs="Arial" w:eastAsia="Arial" w:hAnsi="Arial"/>
          <w:sz w:val="22"/>
          <w:szCs w:val="22"/>
        </w:rPr>
        <w:t xml:space="preserve">We have introduced the Agent Performance Improvement Plan (APIP) as a structured post-deployment remediation framework for customer-facing AI agents. The framework adapts the structural primitives of the human PIP—trigger criteria, cause attribution, tiered intervention, bounded remediation window, and exit evaluation—to the agent management context, while acknowledging the fundamental disanalogy that agents cannot self-direct their improvement. We have grounded the framework in two complementary organizational science traditions: the PIP literature, which provides the lifecycle structure, and Kirkpatrick’s four-level evaluation model, which provides a hierarchical discipline for assessing whether interventions produce durable rather than superficial recovery.</w:t>
      </w:r>
    </w:p>
    <w:p>
      <w:pPr>
        <w:spacing w:after="120" w:before="80"/>
        <w:jc w:val="both"/>
      </w:pPr>
      <w:r>
        <w:rPr>
          <w:rFonts w:ascii="Arial" w:cs="Arial" w:eastAsia="Arial" w:hAnsi="Arial"/>
          <w:sz w:val="22"/>
          <w:szCs w:val="22"/>
        </w:rPr>
        <w:t xml:space="preserve">The APIP framework addresses a genuine gap in current practice: the absence of structured, documented, and measurable remediation protocols for underperforming production agents. Through a hypothetical case study, we have shown that unstructured remediation creates avoidable regression risk through failure mode misclassification, and that the APIP’s cause attribution phase provides a direct mitigation. The formal schema provides a foundation for tooling integration and the audit trail documentation increasingly required by AI governance frameworks [3, 4, 14].</w:t>
      </w:r>
    </w:p>
    <w:p>
      <w:pPr>
        <w:spacing w:after="120" w:before="80"/>
        <w:jc w:val="both"/>
      </w:pPr>
      <w:r>
        <w:rPr>
          <w:rFonts w:ascii="Arial" w:cs="Arial" w:eastAsia="Arial" w:hAnsi="Arial"/>
          <w:sz w:val="22"/>
          <w:szCs w:val="22"/>
        </w:rPr>
        <w:t xml:space="preserve">We have identified behavioral contract specification, scalable causal attribution, multi-agent mesh extension, and organizational ownership as the primary open problems for future work. The mesh disruption problem in particular—where a locally high-performing new agent degrades peer agent performance through shared context space dynamics—reveals a causal attribution failure mode that motivates a companion extension of this framework to multi-agent deployments. By grounding the mesh disruption analysis in Event System Theory [16], the team membership change literature [20, 22], and Transactive Memory Systems research [18, 23], we have established a theoretical vocabulary that bridges organizational behavior and multi-agent AI systems.</w:t>
      </w:r>
    </w:p>
    <w:p>
      <w:pPr>
        <w:spacing w:after="120" w:before="80"/>
        <w:jc w:val="both"/>
      </w:pPr>
      <w:r>
        <w:rPr>
          <w:rFonts w:ascii="Arial" w:cs="Arial" w:eastAsia="Arial" w:hAnsi="Arial"/>
          <w:sz w:val="22"/>
          <w:szCs w:val="22"/>
        </w:rPr>
        <w:t xml:space="preserve">Our central argument is simple: deployed agents should be treated as subjects of ongoing accountability rather than as static shipped artifacts. The discipline of structured remediation—trigger, diagnose, intervene, evaluate—is not new. It is well-established in software reliability engineering, in organizational management, and in clinical practice. The AI field has the opportunity to adopt it deliberately, before regulatory requirements make adoption mandatory.</w:t>
      </w:r>
    </w:p>
    <w:p>
      <w:pPr>
        <w:spacing w:after="0" w:before="80"/>
      </w:pPr>
      <w:r>
        <w:t xml:space="preserve"/>
      </w:r>
    </w:p>
    <w:p>
      <w:pPr>
        <w:pBdr>
          <w:bottom w:val="single" w:color="AAAAAA" w:sz="4" w:space="1"/>
        </w:pBdr>
        <w:spacing w:after="160" w:before="160"/>
      </w:pPr>
      <w:r>
        <w:t xml:space="preserve"/>
      </w:r>
    </w:p>
    <w:p>
      <w:pPr>
        <w:spacing w:after="80" w:before="160"/>
      </w:pPr>
      <w:r>
        <w:rPr>
          <w:rFonts w:ascii="Arial" w:cs="Arial" w:eastAsia="Arial" w:hAnsi="Arial"/>
          <w:b/>
          <w:bCs/>
          <w:color w:val="2E4057"/>
          <w:sz w:val="24"/>
          <w:szCs w:val="24"/>
        </w:rPr>
        <w:t xml:space="preserve">References</w:t>
      </w:r>
    </w:p>
    <w:p>
      <w:pPr>
        <w:spacing w:after="120" w:before="80"/>
        <w:jc w:val="both"/>
      </w:pPr>
      <w:r>
        <w:rPr>
          <w:rFonts w:ascii="Arial" w:cs="Arial" w:eastAsia="Arial" w:hAnsi="Arial"/>
          <w:sz w:val="22"/>
          <w:szCs w:val="22"/>
        </w:rPr>
        <w:t xml:space="preserve">[1] Anthropic. (2023). Constitutional AI: Harmlessness from AI feedback. arXiv preprint arXiv:2212.08073.</w:t>
      </w:r>
    </w:p>
    <w:p>
      <w:pPr>
        <w:spacing w:after="120" w:before="80"/>
        <w:jc w:val="both"/>
      </w:pPr>
      <w:r>
        <w:rPr>
          <w:rFonts w:ascii="Arial" w:cs="Arial" w:eastAsia="Arial" w:hAnsi="Arial"/>
          <w:sz w:val="22"/>
          <w:szCs w:val="22"/>
        </w:rPr>
        <w:t xml:space="preserve">[2] Bauer, T.N., Erdogan, B., Ellis, A.M., Truxillo, D.M., Brady, G.M., &amp; Bodner, T. (2025). New horizons for newcomer organizational socialization: A review, meta-analysis, and future research directions. Journal of Management, 51(1).</w:t>
      </w:r>
    </w:p>
    <w:p>
      <w:pPr>
        <w:spacing w:after="120" w:before="80"/>
        <w:jc w:val="both"/>
      </w:pPr>
      <w:r>
        <w:rPr>
          <w:rFonts w:ascii="Arial" w:cs="Arial" w:eastAsia="Arial" w:hAnsi="Arial"/>
          <w:sz w:val="22"/>
          <w:szCs w:val="22"/>
        </w:rPr>
        <w:t xml:space="preserve">[3] Brundage, M., et al. (2020). Toward trustworthy AI development: Mechanisms for supporting verifiable claims. arXiv preprint arXiv:2004.07213.</w:t>
      </w:r>
    </w:p>
    <w:p>
      <w:pPr>
        <w:spacing w:after="120" w:before="80"/>
        <w:jc w:val="both"/>
      </w:pPr>
      <w:r>
        <w:rPr>
          <w:rFonts w:ascii="Arial" w:cs="Arial" w:eastAsia="Arial" w:hAnsi="Arial"/>
          <w:sz w:val="22"/>
          <w:szCs w:val="22"/>
        </w:rPr>
        <w:t xml:space="preserve">[4] European Parliament and Council. (2024). Regulation on Artificial Intelligence (EU AI Act). Official Journal of the European Union.</w:t>
      </w:r>
    </w:p>
    <w:p>
      <w:pPr>
        <w:spacing w:after="120" w:before="80"/>
        <w:jc w:val="both"/>
      </w:pPr>
      <w:r>
        <w:rPr>
          <w:rFonts w:ascii="Arial" w:cs="Arial" w:eastAsia="Arial" w:hAnsi="Arial"/>
          <w:sz w:val="22"/>
          <w:szCs w:val="22"/>
        </w:rPr>
        <w:t xml:space="preserve">[5] Ganguli, D., et al. (2022). Red teaming language models to reduce harms: Methods, scaling behaviors, and lessons learned. arXiv preprint arXiv:2209.07858.</w:t>
      </w:r>
    </w:p>
    <w:p>
      <w:pPr>
        <w:spacing w:after="120" w:before="80"/>
        <w:jc w:val="both"/>
      </w:pPr>
      <w:r>
        <w:rPr>
          <w:rFonts w:ascii="Arial" w:cs="Arial" w:eastAsia="Arial" w:hAnsi="Arial"/>
          <w:sz w:val="22"/>
          <w:szCs w:val="22"/>
        </w:rPr>
        <w:t xml:space="preserve">[6] Hendrycks, D., et al. (2021). Aligning AI with shared human values. arXiv preprint arXiv:2008.02275.</w:t>
      </w:r>
    </w:p>
    <w:p>
      <w:pPr>
        <w:spacing w:after="120" w:before="80"/>
        <w:jc w:val="both"/>
      </w:pPr>
      <w:r>
        <w:rPr>
          <w:rFonts w:ascii="Arial" w:cs="Arial" w:eastAsia="Arial" w:hAnsi="Arial"/>
          <w:sz w:val="22"/>
          <w:szCs w:val="22"/>
        </w:rPr>
        <w:t xml:space="preserve">[7] Kirkpatrick, D.L. (1994). Evaluating Training Programs: The Four Levels. San Francisco: Berrett-Koehler.</w:t>
      </w:r>
    </w:p>
    <w:p>
      <w:pPr>
        <w:spacing w:after="120" w:before="80"/>
        <w:jc w:val="both"/>
      </w:pPr>
      <w:r>
        <w:rPr>
          <w:rFonts w:ascii="Arial" w:cs="Arial" w:eastAsia="Arial" w:hAnsi="Arial"/>
          <w:sz w:val="22"/>
          <w:szCs w:val="22"/>
        </w:rPr>
        <w:t xml:space="preserve">[8] Kirkpatrick, J.D. &amp; Kirkpatrick, W.K. (2016). Kirkpatrick’s Four Levels of Training Evaluation. Association for Talent Development.</w:t>
      </w:r>
    </w:p>
    <w:p>
      <w:pPr>
        <w:spacing w:after="120" w:before="80"/>
        <w:jc w:val="both"/>
      </w:pPr>
      <w:r>
        <w:rPr>
          <w:rFonts w:ascii="Arial" w:cs="Arial" w:eastAsia="Arial" w:hAnsi="Arial"/>
          <w:sz w:val="22"/>
          <w:szCs w:val="22"/>
        </w:rPr>
        <w:t xml:space="preserve">[9] Liang, P., et al. (2022). Holistic evaluation of language models. arXiv preprint arXiv:2211.09110.</w:t>
      </w:r>
    </w:p>
    <w:p>
      <w:pPr>
        <w:spacing w:after="120" w:before="80"/>
        <w:jc w:val="both"/>
      </w:pPr>
      <w:r>
        <w:rPr>
          <w:rFonts w:ascii="Arial" w:cs="Arial" w:eastAsia="Arial" w:hAnsi="Arial"/>
          <w:sz w:val="22"/>
          <w:szCs w:val="22"/>
        </w:rPr>
        <w:t xml:space="preserve">[10] Ouyang, L., et al. (2022). Training language models to follow instructions with human feedback. Advances in Neural Information Processing Systems, 35.</w:t>
      </w:r>
    </w:p>
    <w:p>
      <w:pPr>
        <w:spacing w:after="120" w:before="80"/>
        <w:jc w:val="both"/>
      </w:pPr>
      <w:r>
        <w:rPr>
          <w:rFonts w:ascii="Arial" w:cs="Arial" w:eastAsia="Arial" w:hAnsi="Arial"/>
          <w:sz w:val="22"/>
          <w:szCs w:val="22"/>
        </w:rPr>
        <w:t xml:space="preserve">[11] Perez, E., et al. (2022). Red teaming language models with language models. arXiv preprint arXiv:2202.03286.</w:t>
      </w:r>
    </w:p>
    <w:p>
      <w:pPr>
        <w:spacing w:after="120" w:before="80"/>
        <w:jc w:val="both"/>
      </w:pPr>
      <w:r>
        <w:rPr>
          <w:rFonts w:ascii="Arial" w:cs="Arial" w:eastAsia="Arial" w:hAnsi="Arial"/>
          <w:sz w:val="22"/>
          <w:szCs w:val="22"/>
        </w:rPr>
        <w:t xml:space="preserve">[12] Ribeiro, M.T., et al. (2020). Beyond accuracy: Behavioral testing of NLP models with CheckList. Proceedings of ACL 2020.</w:t>
      </w:r>
    </w:p>
    <w:p>
      <w:pPr>
        <w:spacing w:after="120" w:before="80"/>
        <w:jc w:val="both"/>
      </w:pPr>
      <w:r>
        <w:rPr>
          <w:rFonts w:ascii="Arial" w:cs="Arial" w:eastAsia="Arial" w:hAnsi="Arial"/>
          <w:sz w:val="22"/>
          <w:szCs w:val="22"/>
        </w:rPr>
        <w:t xml:space="preserve">[13] Kammeyer-Mueller, J.D., Wanberg, C.R., Rubenstein, A., &amp; Song, Z. (2013). Support, undermining, and newcomer socialization: Fitting in during the first 90 days. Academy of Management Journal, 56, 1104–1124.</w:t>
      </w:r>
    </w:p>
    <w:p>
      <w:pPr>
        <w:spacing w:after="120" w:before="80"/>
        <w:jc w:val="both"/>
      </w:pPr>
      <w:r>
        <w:rPr>
          <w:rFonts w:ascii="Arial" w:cs="Arial" w:eastAsia="Arial" w:hAnsi="Arial"/>
          <w:sz w:val="22"/>
          <w:szCs w:val="22"/>
        </w:rPr>
        <w:t xml:space="preserve">[14] Wachter, S., Mittelstadt, B., &amp; Russell, C. (2017). Counterfactual explanations without opening the black box: Automated decisions and the GDPR. Harvard Journal of Law &amp; Technology, 31(2).</w:t>
      </w:r>
    </w:p>
    <w:p>
      <w:pPr>
        <w:spacing w:after="120" w:before="80"/>
        <w:jc w:val="both"/>
      </w:pPr>
      <w:r>
        <w:rPr>
          <w:rFonts w:ascii="Arial" w:cs="Arial" w:eastAsia="Arial" w:hAnsi="Arial"/>
          <w:sz w:val="22"/>
          <w:szCs w:val="22"/>
        </w:rPr>
        <w:t xml:space="preserve">[15] Lewis, K., Belliveau, M., Herndon, B., &amp; Keller, J. (2007). Group cognition, membership change, and performance: Investigating the benefits and detriments of collective knowledge. Organizational Behavior and Human Decision Processes, 103(2), 159–178.</w:t>
      </w:r>
    </w:p>
    <w:p>
      <w:pPr>
        <w:spacing w:after="120" w:before="80"/>
        <w:jc w:val="both"/>
      </w:pPr>
      <w:r>
        <w:rPr>
          <w:rFonts w:ascii="Arial" w:cs="Arial" w:eastAsia="Arial" w:hAnsi="Arial"/>
          <w:sz w:val="22"/>
          <w:szCs w:val="22"/>
        </w:rPr>
        <w:t xml:space="preserve">[16] Morgeson, F.P., Mitchell, T.R., &amp; Liu, D. (2015). Event system theory: An event-oriented approach to the organizational sciences. Academy of Management Review, 40(4), 515–537.</w:t>
      </w:r>
    </w:p>
    <w:p>
      <w:pPr>
        <w:spacing w:after="120" w:before="80"/>
        <w:jc w:val="both"/>
      </w:pPr>
      <w:r>
        <w:rPr>
          <w:rFonts w:ascii="Arial" w:cs="Arial" w:eastAsia="Arial" w:hAnsi="Arial"/>
          <w:sz w:val="22"/>
          <w:szCs w:val="22"/>
        </w:rPr>
        <w:t xml:space="preserve">[17] Liang, D.W., Moreland, R.L., &amp; Argote, L. (1995). Group versus individual training and group performance: The mediating role of transactive memory. Personality and Social Psychology Bulletin, 21, 384–393.</w:t>
      </w:r>
    </w:p>
    <w:p>
      <w:pPr>
        <w:spacing w:after="120" w:before="80"/>
        <w:jc w:val="both"/>
      </w:pPr>
      <w:r>
        <w:rPr>
          <w:rFonts w:ascii="Arial" w:cs="Arial" w:eastAsia="Arial" w:hAnsi="Arial"/>
          <w:sz w:val="22"/>
          <w:szCs w:val="22"/>
        </w:rPr>
        <w:t xml:space="preserve">[18] Ren, Y. &amp; Argote, L. (2011). Transactive memory systems 1985–2010: An integrative framework of key dimensions, antecedents, and consequences. Academy of Management Annals, 5(1), 189–229.</w:t>
      </w:r>
    </w:p>
    <w:p>
      <w:pPr>
        <w:spacing w:after="120" w:before="80"/>
        <w:jc w:val="both"/>
      </w:pPr>
      <w:r>
        <w:rPr>
          <w:rFonts w:ascii="Arial" w:cs="Arial" w:eastAsia="Arial" w:hAnsi="Arial"/>
          <w:sz w:val="22"/>
          <w:szCs w:val="22"/>
        </w:rPr>
        <w:t xml:space="preserve">[19] Strizver, S.D. &amp; Ployhart, R.E. (2024). Conceptualizing team disruption through an event-system framework. Group &amp; Organization Management.</w:t>
      </w:r>
    </w:p>
    <w:p>
      <w:pPr>
        <w:spacing w:after="120" w:before="80"/>
        <w:jc w:val="both"/>
      </w:pPr>
      <w:r>
        <w:rPr>
          <w:rFonts w:ascii="Arial" w:cs="Arial" w:eastAsia="Arial" w:hAnsi="Arial"/>
          <w:sz w:val="22"/>
          <w:szCs w:val="22"/>
        </w:rPr>
        <w:t xml:space="preserve">[20] Summers, J.K., Humphrey, S.E., &amp; Ferris, G.R. (2012). Team member change, flux in coordination, and performance: Effects of strategic core roles, information transfer, and cognitive ability. Academy of Management Journal, 55(2), 314–338.</w:t>
      </w:r>
    </w:p>
    <w:p>
      <w:pPr>
        <w:spacing w:after="120" w:before="80"/>
        <w:jc w:val="both"/>
      </w:pPr>
      <w:r>
        <w:rPr>
          <w:rFonts w:ascii="Arial" w:cs="Arial" w:eastAsia="Arial" w:hAnsi="Arial"/>
          <w:sz w:val="22"/>
          <w:szCs w:val="22"/>
        </w:rPr>
        <w:t xml:space="preserve">[21] Trainer, H.M., Jones, J.M., Pendergraft, J.G., Maupin, C.K., &amp; Carter, D.R. (2020). Team membership change “events”: A review and reconceptualization. Group &amp; Organization Management, 45(2), 219–267.</w:t>
      </w:r>
    </w:p>
    <w:p>
      <w:pPr>
        <w:spacing w:after="120" w:before="80"/>
        <w:jc w:val="both"/>
      </w:pPr>
      <w:r>
        <w:rPr>
          <w:rFonts w:ascii="Arial" w:cs="Arial" w:eastAsia="Arial" w:hAnsi="Arial"/>
          <w:sz w:val="22"/>
          <w:szCs w:val="22"/>
        </w:rPr>
        <w:t xml:space="preserve">[22] Wegner, D.M. (1987). Transactive memory: A contemporary analysis of the group mind. In B. Mullen &amp; G.R. Goethals (Eds.), Theories of Group Behavior (pp. 185–208). Springer.</w:t>
      </w:r>
    </w:p>
    <w:p>
      <w:pPr>
        <w:spacing w:after="120" w:before="80"/>
        <w:jc w:val="both"/>
      </w:pPr>
      <w:r>
        <w:rPr>
          <w:rFonts w:ascii="Arial" w:cs="Arial" w:eastAsia="Arial" w:hAnsi="Arial"/>
          <w:sz w:val="22"/>
          <w:szCs w:val="22"/>
        </w:rPr>
        <w:t xml:space="preserve">[23] Moreland, R.L. &amp; Argote, L. (2003). Transactive memory in dynamic organizations. In R. Peterson &amp; E.A. Mannix (Eds.), Understanding the Dynamic Organization (pp. 135–162). Erlbaum.</w:t>
      </w:r>
    </w:p>
    <w:p>
      <w:pPr>
        <w:spacing w:after="0" w:before="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2026-04-18T12:04:00.555Z</dcterms:created>
  <dcterms:modified xsi:type="dcterms:W3CDTF">2026-04-18T12:04:00.556Z</dcterms:modified>
</cp:coreProperties>
</file>

<file path=docProps/custom.xml><?xml version="1.0" encoding="utf-8"?>
<Properties xmlns="http://schemas.openxmlformats.org/officeDocument/2006/custom-properties" xmlns:vt="http://schemas.openxmlformats.org/officeDocument/2006/docPropsVTypes"/>
</file>