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Fixture Body</w:t>
      </w:r>
    </w:p>
    <w:p>
      <w:r>
        <w:t>Stable template fixture with explicit header, footer, Heading 1, Caption and Table Grid coverage.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Fixture</w:t>
            </w:r>
          </w:p>
        </w:tc>
        <w:tc>
          <w:tcPr>
            <w:tcW w:type="dxa" w:w="4320"/>
          </w:tcPr>
          <w:p>
            <w:r>
              <w:t>MCP Torture</w:t>
            </w:r>
          </w:p>
        </w:tc>
      </w:tr>
    </w:tbl>
    <w:p>
      <w:pPr>
        <w:pStyle w:val="Caption"/>
      </w:pPr>
      <w:r>
        <w:t>Tabla 1. Stable template fixture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MCP Torture Template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MCP Torture Template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Georgia" w:hAnsi="Georgia"/>
      <w:b/>
      <w:bCs/>
      <w:i/>
      <w:color w:val="5B5B5B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Torture Template Fixture</dc:title>
  <dc:subject>Stable fixture for notebook-first MCP torture probe</dc:subject>
  <dc:creator>Inspyro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