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80"/>
        <w:jc w:val="center"/>
      </w:pPr>
      <w:r>
        <w:rPr>
          <w:rFonts w:ascii="Palatino Linotype" w:cs="Palatino Linotype" w:eastAsia="Palatino Linotype" w:hAnsi="Palatino Linotype"/>
          <w:b/>
          <w:bCs/>
          <w:color w:val="1F3864"/>
          <w:sz w:val="44"/>
          <w:szCs w:val="44"/>
        </w:rPr>
        <w:t xml:space="preserve">Econometric Analysis of Theory-Informed</w:t>
      </w:r>
    </w:p>
    <w:p>
      <w:pPr>
        <w:spacing w:after="200"/>
        <w:jc w:val="center"/>
      </w:pPr>
      <w:r>
        <w:rPr>
          <w:rFonts w:ascii="Palatino Linotype" w:cs="Palatino Linotype" w:eastAsia="Palatino Linotype" w:hAnsi="Palatino Linotype"/>
          <w:b/>
          <w:bCs/>
          <w:color w:val="1F3864"/>
          <w:sz w:val="44"/>
          <w:szCs w:val="44"/>
        </w:rPr>
        <w:t xml:space="preserve">Kernel Ridge Regression</w:t>
      </w:r>
    </w:p>
    <w:p>
      <w:pPr>
        <w:spacing w:after="600"/>
        <w:jc w:val="center"/>
      </w:pPr>
      <w:r>
        <w:rPr>
          <w:i/>
          <w:iCs/>
          <w:color w:val="555555"/>
          <w:sz w:val="26"/>
          <w:szCs w:val="26"/>
        </w:rPr>
        <w:t xml:space="preserve">Identification, Estimation, and Inference with Nonconvex Structural Penalties</w:t>
      </w:r>
    </w:p>
    <w:p>
      <w:pPr>
        <w:spacing w:after="200"/>
        <w:jc w:val="center"/>
      </w:pPr>
      <w:r>
        <w:rPr>
          <w:sz w:val="24"/>
          <w:szCs w:val="24"/>
        </w:rPr>
        <w:t xml:space="preserve">A Theoretical Report Based on the Literature</w:t>
      </w:r>
    </w:p>
    <w:p>
      <w:pPr>
        <w:spacing w:after="200"/>
        <w:jc w:val="center"/>
      </w:pPr>
      <w:r>
        <w:rPr>
          <w:color w:val="666666"/>
          <w:sz w:val="22"/>
          <w:szCs w:val="22"/>
        </w:rPr>
        <w:t xml:space="preserve">March 2026</w:t>
      </w:r>
    </w:p>
    <w:p>
      <w:r>
        <w:br w:type="page"/>
      </w:r>
    </w:p>
    <w:p>
      <w:pPr>
        <w:pStyle w:val="Heading1"/>
        <w:spacing w:before="360" w:after="240"/>
      </w:pPr>
      <w:r>
        <w:rPr>
          <w:b/>
          <w:bCs/>
        </w:rPr>
        <w:t xml:space="preserve">Executive Summary</w:t>
      </w:r>
    </w:p>
    <w:p>
      <w:pPr>
        <w:spacing w:after="160" w:line="276"/>
      </w:pPr>
      <w:r>
        <w:t xml:space="preserve">This report provides a comprehensive econometric analysis of the Theory-Informed Kernel Ridge Regression (Theory-KRR) estimator proposed in main-2, drawing on seventeen recent papers spanning kernel theory, high-dimensional asymptotics, nonconvex optimization, and functional estimation. The estimator augments standard KRR with structural penalty terms encoding economic restrictions (Euler equations, no-arbitrage, factor structure, demand-system equilibrium). We address five interconnected questions: (i) Is KRR the optimal estimator for this problem? (ii) What are the identification conditions? (iii) How should one cross-validate the multiplier vector </w:t>
      </w:r>
      <w:r>
        <w:rPr>
          <w:i/>
          <w:iCs/>
        </w:rPr>
        <w:t xml:space="preserve">(λ</w:t>
      </w:r>
      <w:r>
        <w:t xml:space="preserve">_stat, μ_1, ..., μ_J)</w:t>
      </w:r>
      <w:r>
        <w:t xml:space="preserve">? (iv) Is the solution unique when penalties are nonconvex? (v) How does one test whether a Lagrange multiplier is nonzero? Our analysis reveals that KRR is minimax-optimal under a source condition 0 &lt; s ≤ 1 but saturates for smoother targets (s &gt; 1), that the representer theorem extends to nonconvex penalties under evaluation-dependence, that cross-validation of the full multiplier vector is feasible but requires careful temporal structure, and that inference on individual multipliers can be conducted via the asymptotic normality results for linear functionals of KRR.</w:t>
      </w:r>
    </w:p>
    <w:p>
      <w:r>
        <w:br w:type="page"/>
      </w:r>
    </w:p>
    <w:p>
      <w:pPr>
        <w:pStyle w:val="Heading1"/>
        <w:spacing w:before="360" w:after="240"/>
      </w:pPr>
      <w:r>
        <w:rPr>
          <w:b/>
          <w:bCs/>
        </w:rPr>
        <w:t xml:space="preserve">1. Introduction and Problem Statement</w:t>
      </w:r>
    </w:p>
    <w:p>
      <w:pPr>
        <w:spacing w:after="160" w:line="276"/>
      </w:pPr>
      <w:r>
        <w:t xml:space="preserve">The Theory-Informed KRR estimator of main-2 solves the optimization problem: </w:t>
      </w:r>
    </w:p>
    <w:p>
      <w:pPr>
        <w:spacing w:after="160" w:line="276"/>
        <w:jc w:val="center"/>
      </w:pPr>
      <w:r>
        <w:rPr>
          <w:i/>
          <w:iCs/>
        </w:rPr>
        <w:t xml:space="preserve">f̂ = argmin_{f ∈ H} (1/n) Σ_s (R_s − f(X_s))² + λ_stat ||f||²_H + Σ_j μ_j C_j(f)</w:t>
      </w:r>
    </w:p>
    <w:p>
      <w:pPr>
        <w:spacing w:after="160" w:line="276"/>
      </w:pPr>
      <w:r>
        <w:t xml:space="preserve">where H is a reproducing kernel Hilbert space (RKHS) with kernel k, λ_stat &gt; 0 is the statistical regularization parameter, and C_j : H → R_+ are structural penalty functionals encoding economic model j’s restrictions. The four types of penalties—Euler equation (Type A), production FOC (Type B), factor structure (Type C), and demand-system equilibrium (Type D)—are all non-negative functionals that equal zero when the economic model’s restrictions hold exactly. The key assumption enabling the representer theorem (Proposition 13 of main-2) is that each C_j(f) depends on f only through its evaluations at the observed data points {f(X_s)}_{s=1}^n.</w:t>
      </w:r>
    </w:p>
    <w:p>
      <w:pPr>
        <w:spacing w:after="160" w:line="276"/>
      </w:pPr>
      <w:r>
        <w:t xml:space="preserve">This setup raises several fundamental econometric questions. When the penalties C_j are nonlinear or nonconvex in f, the overall objective departs from the standard convex KRR problem. The interaction between statistical regularization (λ_stat) and theory-informed regularization (μ_j) creates a multi-dimensional tuning problem. Furthermore, the economic interpretation of the multipliers μ_j—measuring the marginal contribution of each theory—demands formal inference tools. We organize our analysis around three pillars: identification (Section 2), estimation (Sections 3–5), and inference (Sections 6–7).</w:t>
      </w:r>
    </w:p>
    <w:p>
      <w:r>
        <w:br w:type="page"/>
      </w:r>
    </w:p>
    <w:p>
      <w:pPr>
        <w:pStyle w:val="Heading1"/>
        <w:spacing w:before="360" w:after="240"/>
      </w:pPr>
      <w:r>
        <w:rPr>
          <w:b/>
          <w:bCs/>
        </w:rPr>
        <w:t xml:space="preserve">2. Identification</w:t>
      </w:r>
    </w:p>
    <w:p>
      <w:pPr>
        <w:pStyle w:val="Heading2"/>
        <w:spacing w:before="280" w:after="180"/>
      </w:pPr>
      <w:r>
        <w:rPr>
          <w:b/>
          <w:bCs/>
        </w:rPr>
        <w:t xml:space="preserve">2.1 Identification of the Target Function</w:t>
      </w:r>
    </w:p>
    <w:p>
      <w:pPr>
        <w:spacing w:after="160" w:line="276"/>
      </w:pPr>
      <w:r>
        <w:t xml:space="preserve">The target f* is the conditional expectation function f*(X) = E[R | X], identified under Assumption 1 of main-2 via the conditional mean restriction E[ε | X] = 0. In RKHS terms, identification requires that f* belongs to H or can be well-approximated by elements of H. The relevant concept is the </w:t>
      </w:r>
      <w:r>
        <w:rPr>
          <w:i/>
          <w:iCs/>
        </w:rPr>
        <w:t xml:space="preserve">source condition</w:t>
      </w:r>
      <w:r>
        <w:t xml:space="preserve">: f* = T^s g for some g ∈ H, where T = S*S is the squared integral operator associated with the kernel and the marginal distribution of X. The parameter s &gt; 0 quantifies how smooth f* is relative to the RKHS.</w:t>
      </w:r>
    </w:p>
    <w:p>
      <w:pPr>
        <w:spacing w:after="160" w:line="276"/>
      </w:pPr>
      <w:r>
        <w:t xml:space="preserve">The papers by Zhang, Li, Lu, and Lin (23-1679, JMLR 2025) and Li and Zhang (2405.09362v2, ICLR 2023) establish that the source condition parameter s is the fundamental quantity governing the learnability of f*. When 0 &lt; s ≤ 1, KRR achieves the minimax-optimal rate; when s &gt; 1, a saturation effect occurs—KRR cannot exploit the extra smoothness beyond s = 1 regardless of how λ is tuned. Zhang et al. (2404.07709v2) further show that in the geometrical decomposition H = H_{1:k} ⊕ H_{k+1:∞}, the target’s projection onto the top-k eigenspace determines the effective estimation rate, and the optimal choice of k is determined by the spectral structure of T alone, not by f*.</w:t>
      </w:r>
    </w:p>
    <w:p>
      <w:pPr>
        <w:pStyle w:val="Heading2"/>
        <w:spacing w:before="280" w:after="180"/>
      </w:pPr>
      <w:r>
        <w:rPr>
          <w:b/>
          <w:bCs/>
        </w:rPr>
        <w:t xml:space="preserve">2.2 Identification with Structural Penalties</w:t>
      </w:r>
    </w:p>
    <w:p>
      <w:pPr>
        <w:spacing w:after="160" w:line="276"/>
      </w:pPr>
      <w:r>
        <w:t xml:space="preserve">Adding structural penalties C_j(f) introduces </w:t>
      </w:r>
      <w:r>
        <w:rPr>
          <w:i/>
          <w:iCs/>
        </w:rPr>
        <w:t xml:space="preserve">over-identification</w:t>
      </w:r>
      <w:r>
        <w:t xml:space="preserve"> in the GMM sense. Each C_j imposes moment-like restrictions: for Type A (Euler equation), C_j^{Euler}(f) = 0 requires the cross-sectional Euler equation to hold at every date; for Type C (factor structure), C_j^{factor}(f) = 0 requires expected returns to obey a linear factor pricing relation. When these restrictions are mutually compatible and correct, they enhance identification by shrinking the identified set. When they conflict, the cross-validated multipliers μ_j arbitrate: restrictions with higher out-of-sample predictive value receive larger weights.</w:t>
      </w:r>
    </w:p>
    <w:p>
      <w:pPr>
        <w:spacing w:after="160" w:line="276"/>
      </w:pPr>
      <w:r>
        <w:t xml:space="preserve">The connection to instrumental variables is illuminated by the paper of Singh (2511.21603v2) on kernel IV regression. In the KIV framework, the conditional moment restriction E[ε | Z] = 0 requires solving an ill-posed inverse problem through the conditional expectation operator. Singh’s Assumption 3 (strong instrument) prevents the effective dimension from collapsing, ensuring identification. The Type A penalties in main-2 encode similar conditional moment restrictions—the Euler equation E_t[M_{j,t+1} R_{i,t+1}^{gross}] = 1 is a conditional moment condition with instruments X_t. The two-stage regularization structure (λ, μ) in KIV maps onto the (λ_stat, μ_j) structure in Theory-KRR, with the crucial distinction that Theory-KRR imposes multiple moment conditions simultaneously.</w:t>
      </w:r>
    </w:p>
    <w:p>
      <w:pPr>
        <w:pStyle w:val="Heading2"/>
        <w:spacing w:before="280" w:after="180"/>
      </w:pPr>
      <w:r>
        <w:rPr>
          <w:b/>
          <w:bCs/>
        </w:rPr>
        <w:t xml:space="preserve">2.3 Uniqueness of the Solution</w:t>
      </w:r>
    </w:p>
    <w:p>
      <w:pPr>
        <w:spacing w:after="160" w:line="276"/>
      </w:pPr>
      <w:r>
        <w:t xml:space="preserve">When all C_j are convex (e.g., Types B, C, D with linear demand functions), the overall objective is strictly convex (since λ_stat &gt; 0 ensures strict convexity of the RKHS norm term), and the solution is unique. The representer theorem (Proposition 13) guarantees that the infinite-dimensional problem reduces to a finite-dimensional optimization over α ∈ R^n.</w:t>
      </w:r>
    </w:p>
    <w:p>
      <w:pPr>
        <w:spacing w:after="160" w:line="276"/>
      </w:pPr>
      <w:r>
        <w:t xml:space="preserve">When some C_j are nonconvex (e.g., Type A Euler equation penalties with nonlinear SDF specifications), uniqueness is no longer guaranteed. The thesis by Bodin (EPFL_TH10524) on nonconvex optimization with spiked Wigner models reveals that nonconvex loss landscapes in high dimensions can exhibit sharp phase transitions: below a critical signal-to-noise ratio, the landscape has exponentially many spurious local minima; above this threshold, gradient-based methods converge to the global optimum. For the Theory-KRR setting, the key question is whether the statistical regularization λ_stat ||f||^2_H provides sufficient convexification. Since the prediction loss (1/n)Σ(R_s − f(X_s))^2 and the RKHS penalty are both convex, and C_j(f) depends on f only through evaluations {f(X_s)}, the reduced problem in α ∈ R^n has the form:</w:t>
      </w:r>
    </w:p>
    <w:p>
      <w:pPr>
        <w:spacing w:after="160" w:line="276"/>
        <w:jc w:val="center"/>
      </w:pPr>
      <w:r>
        <w:rPr>
          <w:i/>
          <w:iCs/>
        </w:rPr>
        <w:t xml:space="preserve">min_{α} (1/n)||R − Kα||^2 + λ_stat αᵀKα + Σ_j μ_j C̃_j(Kα)</w:t>
      </w:r>
    </w:p>
    <w:p>
      <w:pPr>
        <w:spacing w:after="160" w:line="276"/>
      </w:pPr>
      <w:r>
        <w:t xml:space="preserve">where C̃_j is the finite-dimensional reduction of C_j. The first two terms form a strongly convex quadratic in α (since K is positive definite and λ_stat &gt; 0). The nonconvex perturbation Σ_j μ_j C̃_j(Kα) is dominated by the convex part when μ_j is small relative to λ_stat. Formally, if the Hessian of Σ_j μ_j C̃_j at any critical point has spectral norm bounded by 2λ_stat λ_min(K)/n (where λ_min(K) is the smallest eigenvalue of K), then the overall Hessian remains positive definite and the solution is unique. This provides a concrete sufficient condition for uniqueness that practitioners can verify.</w:t>
      </w:r>
    </w:p>
    <w:p>
      <w:r>
        <w:br w:type="page"/>
      </w:r>
    </w:p>
    <w:p>
      <w:pPr>
        <w:pStyle w:val="Heading1"/>
        <w:spacing w:before="360" w:after="240"/>
      </w:pPr>
      <w:r>
        <w:rPr>
          <w:b/>
          <w:bCs/>
        </w:rPr>
        <w:t xml:space="preserve">3. Is Kernel Ridge Regression Optimal?</w:t>
      </w:r>
    </w:p>
    <w:p>
      <w:pPr>
        <w:pStyle w:val="Heading2"/>
        <w:spacing w:before="280" w:after="180"/>
      </w:pPr>
      <w:r>
        <w:rPr>
          <w:b/>
          <w:bCs/>
        </w:rPr>
        <w:t xml:space="preserve">3.1 The Saturation Effect</w:t>
      </w:r>
    </w:p>
    <w:p>
      <w:pPr>
        <w:spacing w:after="160" w:line="276"/>
      </w:pPr>
      <w:r>
        <w:t xml:space="preserve">A central finding from the recent kernel theory literature is the </w:t>
      </w:r>
      <w:r>
        <w:rPr>
          <w:i/>
          <w:iCs/>
        </w:rPr>
        <w:t xml:space="preserve">saturation effect</w:t>
      </w:r>
      <w:r>
        <w:t xml:space="preserve"> of KRR. Li and Zhang (2405.09362v2) prove that when the target f* satisfies a source condition f* ∈ [H]^α with α ≥ 2, the generalization error of KRR cannot be better than n^{−2/(2+β)} regardless of how the regularization parameter λ is tuned, where β is the eigenvalue decay exponent. The bias is bounded below by Ω(λ^2) and the variance by Ω(λ^{−β}/n), yielding an optimal λ ~ n^{−1/(2+β)} and rate n^{−2/(2+β)}.</w:t>
      </w:r>
    </w:p>
    <w:p>
      <w:pPr>
        <w:spacing w:after="160" w:line="276"/>
      </w:pPr>
      <w:r>
        <w:t xml:space="preserve">In the large-dimensional regime where n ≈ d^k (the polynomial scaling studied by Zhang et al. in 23-1679), the saturation boundary shifts: KRR is minimax-optimal for source parameter 0 &lt; s ≤ 1 but saturates for s &gt; 1. This is distinct from the classical saturation at s = 2 because the large-dimensional geometry introduces additional spectral barriers. The phase diagram of kernel interpolation (Zhang, Lu, Lin, 2404.12597v1) further reveals that at λ → 0, kernel interpolation is consistent only when s &gt; 0 and the polynomial scaling exponent γ ∈ (0, ∞) \ N_+, with sub-optimal rates above a critical threshold Γ(γ).</w:t>
      </w:r>
    </w:p>
    <w:p>
      <w:pPr>
        <w:spacing w:after="160" w:line="276"/>
      </w:pPr>
      <w:r>
        <w:t xml:space="preserve">For the Theory-KRR setting, the saturation effect has a direct implication: </w:t>
      </w:r>
      <w:r>
        <w:rPr>
          <w:i/>
          <w:iCs/>
        </w:rPr>
        <w:t xml:space="preserve">if the conditional expected return function f* is very smooth relative to the RKHS (s &gt; 1), standard KRR is sub-optimal, and the structural penalties can potentially overcome this limitation by providing additional information about f*.</w:t>
      </w:r>
      <w:r>
        <w:t xml:space="preserve"> The structural penalties effectively reduce the function class from the full RKHS to a smaller set consistent with economic theory, potentially bypassing the saturation barrier.</w:t>
      </w:r>
    </w:p>
    <w:p>
      <w:pPr>
        <w:pStyle w:val="Heading2"/>
        <w:spacing w:before="280" w:after="180"/>
      </w:pPr>
      <w:r>
        <w:rPr>
          <w:b/>
          <w:bCs/>
        </w:rPr>
        <w:t xml:space="preserve">3.2 Sharp Asymptotics and Multiple Descent</w:t>
      </w:r>
    </w:p>
    <w:p>
      <w:pPr>
        <w:spacing w:after="160" w:line="276"/>
      </w:pPr>
      <w:r>
        <w:t xml:space="preserve">Hu and Lu (2205.06798v1) derive exact training and test error formulas for KRR in the polynomial scaling regime n ≈ d^k. Their results reveal a hierarchical learning phenomenon: as the sample size increases through critical transitions n ≈ d^k for k = 1, 2, ..., the estimator learns successively higher-degree polynomial components. At each transition, a double descent peak occurs—the test error temporarily increases before decreasing. The Gaussian Equivalence Conjecture is proved rigorously, showing that the kernel matrix can be replaced by a Gaussian equivalent without changing the asymptotic risk.</w:t>
      </w:r>
    </w:p>
    <w:p>
      <w:pPr>
        <w:spacing w:after="160" w:line="276"/>
      </w:pPr>
      <w:r>
        <w:t xml:space="preserve">The paper by Zhang et al. (2408.01062v2) extends this to the quadratic regime n ≈ d^2, showing that KRR retains expressiveness to capture nonlinear structure through a quadratic correction term. Crucially, they establish that generalized cross-validation (GCV) consistently estimates the generalization error in this regime (Corollary 19), providing the first rigorous justification for GCV-based tuning of λ in anisotropic, non-proportional scaling.</w:t>
      </w:r>
    </w:p>
    <w:p>
      <w:pPr>
        <w:spacing w:after="160" w:line="276"/>
      </w:pPr>
      <w:r>
        <w:t xml:space="preserve">Zhang et al. (2404.07709v2) provide a geometrical analysis that yields the most general upper bounds for KRR estimation error, valid across all regularization parameters λ ≥ 0. Their Gaussian Equivalence Property (Proposition 6) shows that replacing the feature map with a Gaussian random vector preserves the excess risk, extending previous results from asymptotic to non-asymptotic settings. Their multiple-descent result (Proposition 9) shows that for polynomial kernels of degree L, the error exhibits L descent phases as N increases through d, d^2, ..., d^L.</w:t>
      </w:r>
    </w:p>
    <w:p>
      <w:pPr>
        <w:pStyle w:val="Heading2"/>
        <w:spacing w:before="280" w:after="180"/>
      </w:pPr>
      <w:r>
        <w:rPr>
          <w:b/>
          <w:bCs/>
        </w:rPr>
        <w:t xml:space="preserve">3.3 Spectral Methods and Feature Learning</w:t>
      </w:r>
    </w:p>
    <w:p>
      <w:pPr>
        <w:spacing w:after="160" w:line="276"/>
      </w:pPr>
      <w:r>
        <w:t xml:space="preserve">The paper on sharp convergence rates for spectral methods (2512.14473v2) provides a unified analysis of KRR, gradient descent, gradient flow, and principal component regression as special cases of spectral methods. The key negative result is that all spectral methods—including KRR—</w:t>
      </w:r>
      <w:r>
        <w:rPr>
          <w:i/>
          <w:iCs/>
        </w:rPr>
        <w:t xml:space="preserve">lack feature learning capability</w:t>
      </w:r>
      <w:r>
        <w:t xml:space="preserve">. When the target f* is misaligned with the eigenvectors of the covariance operator (concentrated on low-variance directions), no spectral method can achieve fast rates. By contrast, neural networks trained via SGD can learn features and overcome this barrier. This has a subtle implication for Theory-KRR: the structural penalties, by providing additional information about f*, can effectively </w:t>
      </w:r>
      <w:r>
        <w:rPr>
          <w:i/>
          <w:iCs/>
        </w:rPr>
        <w:t xml:space="preserve">align</w:t>
      </w:r>
      <w:r>
        <w:t xml:space="preserve"> the estimator with the correct directions, mimicking feature learning within the kernel framework.</w:t>
      </w:r>
    </w:p>
    <w:p>
      <w:pPr>
        <w:spacing w:after="160" w:line="276"/>
      </w:pPr>
      <w:r>
        <w:t xml:space="preserve">The partial order on spectral algorithms established by this paper is also informative: gradient flow dominates ridge regression (the residual function decays faster), suggesting that iterative solvers for the Theory-KRR objective may offer computational advantages beyond what the static representer theorem suggests.</w:t>
      </w:r>
    </w:p>
    <w:p>
      <w:pPr>
        <w:pStyle w:val="Heading2"/>
        <w:spacing w:before="280" w:after="180"/>
      </w:pPr>
      <w:r>
        <w:rPr>
          <w:b/>
          <w:bCs/>
        </w:rPr>
        <w:t xml:space="preserve">3.4 Alternative Estimation Strategies</w:t>
      </w:r>
    </w:p>
    <w:p>
      <w:pPr>
        <w:spacing w:after="160" w:line="276"/>
      </w:pPr>
      <w:r>
        <w:t xml:space="preserve">The functional PLS paper (Functional Partial Least-Squares) offers an alternative regularization paradigm: instead of Tikhonov regularization (λ ||f||^2_H), PLS regularizes through early stopping on a Krylov subspace. The PLS estimator achieves minimax-optimal rates O_P(n^{−2μ/(2μ+1)}) adaptively, without knowing the degree of ill-posedness μ. This adaptivity is attractive for the Theory-KRR setting where the effective smoothness of f* (after accounting for structural penalties) may be unknown.</w:t>
      </w:r>
    </w:p>
    <w:p>
      <w:pPr>
        <w:spacing w:after="160" w:line="276"/>
      </w:pPr>
      <w:r>
        <w:t xml:space="preserve">The gradient-based kernel dimension reduction (gKDR) paper (FukumizuLeng, 2013) and the Gaussian process regression paper (21-0570, Wang and Jing, 2022) provide complementary perspectives. The gKDR method identifies the effective subspace of covariates driving the response, which could be used as a pre-processing step to reduce dimensionality before applying Theory-KRR. Wang and Jing (2022) establish that GP regression—which is equivalent to KRR under the right correspondence—achieves optimal rates even under misspecified kernel smoothness, provided the imposed smoothness exceeds the true smoothness (oversmoothing). This robustness to kernel misspecification is encouraging for practitioners who must choose the kernel in Theory-KRR.</w:t>
      </w:r>
    </w:p>
    <w:p>
      <w:r>
        <w:br w:type="page"/>
      </w:r>
    </w:p>
    <w:p>
      <w:pPr>
        <w:pStyle w:val="Heading1"/>
        <w:spacing w:before="360" w:after="240"/>
      </w:pPr>
      <w:r>
        <w:rPr>
          <w:b/>
          <w:bCs/>
        </w:rPr>
        <w:t xml:space="preserve">4. Convergence Rates for Theory-Informed KRR</w:t>
      </w:r>
    </w:p>
    <w:p>
      <w:pPr>
        <w:pStyle w:val="Heading2"/>
        <w:spacing w:before="280" w:after="180"/>
      </w:pPr>
      <w:r>
        <w:rPr>
          <w:b/>
          <w:bCs/>
        </w:rPr>
        <w:t xml:space="preserve">4.1 Bias-Variance Decomposition</w:t>
      </w:r>
    </w:p>
    <w:p>
      <w:pPr>
        <w:spacing w:after="160" w:line="276"/>
      </w:pPr>
      <w:r>
        <w:t xml:space="preserve">The Theory-KRR estimator’s generalization error admits a decomposition into three sources: (i) the standard KRR bias from regularization, (ii) the standard KRR variance from noise, and (iii) an additional bias reduction (or increase) from the structural penalties. Formally, writing f̂ = f̂_KRR + Δf where Δf captures the effect of structural penalties:</w:t>
      </w:r>
    </w:p>
    <w:p>
      <w:pPr>
        <w:spacing w:after="160" w:line="276"/>
      </w:pPr>
      <w:r>
        <w:t xml:space="preserve">The bias term for standard KRR is ||f* − E[f̂_KRR]||_{L2} = O(λ^s) under the source condition f* ∈ [H]^s. The variance term is O(λ^{−β}/n) where β measures the eigenvalue decay. The structural penalties introduce a correction that depends on the quality of the economic models: when the j-th model is correctly specified, C_j(f*) = 0 and the penalty does not distort the bias; when it is misspecified, C_j(f*) &gt; 0 and the penalty introduces additional bias proportional to μ_j C_j(f*). The cross-validation of μ_j serves precisely to balance this tradeoff.</w:t>
      </w:r>
    </w:p>
    <w:p>
      <w:pPr>
        <w:pStyle w:val="Heading2"/>
        <w:spacing w:before="280" w:after="180"/>
      </w:pPr>
      <w:r>
        <w:rPr>
          <w:b/>
          <w:bCs/>
        </w:rPr>
        <w:t xml:space="preserve">4.2 Effective Dimension and Regularization</w:t>
      </w:r>
    </w:p>
    <w:p>
      <w:pPr>
        <w:spacing w:after="160" w:line="276"/>
      </w:pPr>
      <w:r>
        <w:t xml:space="preserve">The effective dimension N(λ) = trace(K(K + λ I)^{−1}) plays a central role in KRR theory. Zhang et al. (23-1679) introduce refinements N_1(λ), N_2(λ) that capture the interaction between the spectral structure and the regularization parameter more precisely. For Theory-KRR, the structural penalties modify the effective dimension: well-specified penalties effectively reduce the function class, lowering the effective dimension and improving the variance term. This can be understood through the geometrical framework of Zhang et al. (2404.07709v2): the structural penalties project the estimator onto a lower-dimensional subspace of the RKHS compatible with economic theory, reducing the estimation-space dimension k and thereby improving the rate.</w:t>
      </w:r>
    </w:p>
    <w:p>
      <w:pPr>
        <w:spacing w:after="160" w:line="276"/>
      </w:pPr>
      <w:r>
        <w:t xml:space="preserve">The generalized kernel machine framework of Cawley et al. (ijcnn2007a) provides a useful computational perspective: by viewing Theory-KRR as a generalized linear model in the RKHS feature space, the iteratively reweighted least-squares (IRWLS) algorithm naturally extends to penalties beyond the squared loss. For exponential family losses, the representer theorem still applies, and the efficient leave-one-out cross-validation formula (Equation 23 in Cawley et al.) can be adapted to select regularization parameters.</w:t>
      </w:r>
    </w:p>
    <w:p>
      <w:pPr>
        <w:pStyle w:val="Heading2"/>
        <w:spacing w:before="280" w:after="180"/>
      </w:pPr>
      <w:r>
        <w:rPr>
          <w:b/>
          <w:bCs/>
        </w:rPr>
        <w:t xml:space="preserve">4.3 Rates Under Nonconvex Penalties</w:t>
      </w:r>
    </w:p>
    <w:p>
      <w:pPr>
        <w:spacing w:after="160" w:line="276"/>
      </w:pPr>
      <w:r>
        <w:t xml:space="preserve">When C_j is nonconvex, standard convex optimization theory does not directly apply. However, the EPFL thesis (Bodin, 2024) provides relevant tools from the study of nonconvex optimization in high dimensions. Key insights include: (i) gradient flow on nonconvex landscapes with spiked structure converges to a neighborhood of the global optimum when the signal-to-noise ratio exceeds a critical threshold; (ii) the convergence rate depends on the spectral gap of the Hessian at the global optimum; (iii) in the high-dimensional limit, the loss landscape concentrates and the number of critical points can be characterized. For Theory-KRR, the strong convexity of the KRR component provides a natural signal that can dominate the nonconvex perturbation from structural penalties.</w:t>
      </w:r>
    </w:p>
    <w:p>
      <w:r>
        <w:br w:type="page"/>
      </w:r>
    </w:p>
    <w:p>
      <w:pPr>
        <w:pStyle w:val="Heading1"/>
        <w:spacing w:before="360" w:after="240"/>
      </w:pPr>
      <w:r>
        <w:rPr>
          <w:b/>
          <w:bCs/>
        </w:rPr>
        <w:t xml:space="preserve">5. Cross-Validation of Multiple Restrictions</w:t>
      </w:r>
    </w:p>
    <w:p>
      <w:pPr>
        <w:pStyle w:val="Heading2"/>
        <w:spacing w:before="280" w:after="180"/>
      </w:pPr>
      <w:r>
        <w:rPr>
          <w:b/>
          <w:bCs/>
        </w:rPr>
        <w:t xml:space="preserve">5.1 The Multi-Parameter Tuning Problem</w:t>
      </w:r>
    </w:p>
    <w:p>
      <w:pPr>
        <w:spacing w:after="160" w:line="276"/>
      </w:pPr>
      <w:r>
        <w:t xml:space="preserve">Theory-KRR requires selecting the (J+1)-dimensional vector (λ_stat, μ_1, ..., μ_J). Main-2 proposes temporal cross-validation, using out-of-sample R^2 as the criterion. The theoretical justification comes from several sources. The GCV result of Zhang et al. (2408.01062v2, Corollary 19) establishes that generalized cross-validation consistently estimates generalization error for KRR in the polynomial scaling regime, even with anisotropic data. This provides a foundation for using GCV-type criteria to select λ_stat.</w:t>
      </w:r>
    </w:p>
    <w:p>
      <w:pPr>
        <w:spacing w:after="160" w:line="276"/>
      </w:pPr>
      <w:r>
        <w:t xml:space="preserve">For the full vector (λ_stat, μ_1, ..., μ_J), the key challenge is the curse of dimensionality in the tuning parameter space. With J = 56 structural restrictions (as in main-2), exhaustive grid search is infeasible. The paper on spectral methods (2512.14473v2) suggests that the estimation dimension k*—which does not depend on f*—can be estimated from the spectrum of the kernel matrix alone, reducing the effective dimensionality of the tuning problem. Moreover, the asymptotic theory for linear functionals of KRR (2403.04248v3) shows that the optimal λ scales as n^{−1} for many functionals of interest, providing a principled starting point.</w:t>
      </w:r>
    </w:p>
    <w:p>
      <w:pPr>
        <w:pStyle w:val="Heading2"/>
        <w:spacing w:before="280" w:after="180"/>
      </w:pPr>
      <w:r>
        <w:rPr>
          <w:b/>
          <w:bCs/>
        </w:rPr>
        <w:t xml:space="preserve">5.2 Temporal Cross-Validation and Dependent Data</w:t>
      </w:r>
    </w:p>
    <w:p>
      <w:pPr>
        <w:spacing w:after="160" w:line="276"/>
      </w:pPr>
      <w:r>
        <w:t xml:space="preserve">The Theory-KRR setting involves panel data (N assets over T periods) with temporal dependence. Standard cross-validation assumes i.i.d. data and can overfit in the presence of serial correlation. Temporal cross-validation—using rolling or expanding windows with a temporal gap—is essential. The asymptotic normality results of the linear functionals paper (2403.04248v3, Theorem 6) provide distributional theory for the KRR estimator under fixed design, but extending these to dependent data with cross-validation requires additional care. The key is that the out-of-sample loss concentrates around the population risk at rate O(1/√T) under mild mixing conditions, justifying the temporal CV approach.</w:t>
      </w:r>
    </w:p>
    <w:p>
      <w:pPr>
        <w:spacing w:after="160" w:line="276"/>
      </w:pPr>
      <w:r>
        <w:t xml:space="preserve">A practical strategy for the high-dimensional tuning problem is to decompose it hierarchically: first select λ_stat by standard KRR cross-validation (without structural penalties), then sequentially add penalties by forward selection on μ_j. Main-2’s approach of ranking theories by their marginal OOS R^2 contribution is closely related to this forward-selection strategy. The penalized GMM literature (Caner, 2009; Caner and Zhang, 2014, cited in main-2) provides oracle inequalities for LASSO-type moment selection that could be adapted to the Theory-KRR setting.</w:t>
      </w:r>
    </w:p>
    <w:p>
      <w:pPr>
        <w:pStyle w:val="Heading2"/>
        <w:spacing w:before="280" w:after="180"/>
      </w:pPr>
      <w:r>
        <w:rPr>
          <w:b/>
          <w:bCs/>
        </w:rPr>
        <w:t xml:space="preserve">5.3 Generalized Cross-Validation in the Kernel Setting</w:t>
      </w:r>
    </w:p>
    <w:p>
      <w:pPr>
        <w:spacing w:after="160" w:line="276"/>
      </w:pPr>
      <w:r>
        <w:t xml:space="preserve">For the standard KRR component, GCV takes the form GCV(λ) = (1/n) ||(Ι − H_λ) R||^2 / (1 − trace(H_λ)/n)^2 where H_λ = K(K + nλ I)^{−1} is the hat matrix. The consistency of GCV as an estimator of the prediction risk has been established under various asymptotic regimes. The extension to Theory-KRR requires accounting for the structural penalties in the effective degrees of freedom. When C_j are convex and twice differentiable, the effective degrees of freedom can be computed via the trace of the Jacobian of the fitted values with respect to the responses, generalizing the standard formula.</w:t>
      </w:r>
    </w:p>
    <w:p>
      <w:r>
        <w:br w:type="page"/>
      </w:r>
    </w:p>
    <w:p>
      <w:pPr>
        <w:pStyle w:val="Heading1"/>
        <w:spacing w:before="360" w:after="240"/>
      </w:pPr>
      <w:r>
        <w:rPr>
          <w:b/>
          <w:bCs/>
        </w:rPr>
        <w:t xml:space="preserve">6. Inference</w:t>
      </w:r>
    </w:p>
    <w:p>
      <w:pPr>
        <w:pStyle w:val="Heading2"/>
        <w:spacing w:before="280" w:after="180"/>
      </w:pPr>
      <w:r>
        <w:rPr>
          <w:b/>
          <w:bCs/>
        </w:rPr>
        <w:t xml:space="preserve">6.1 Asymptotic Normality of Linear Functionals</w:t>
      </w:r>
    </w:p>
    <w:p>
      <w:pPr>
        <w:spacing w:after="160" w:line="276"/>
      </w:pPr>
      <w:r>
        <w:t xml:space="preserve">The paper by Fischer and Steinwart (2403.04248v3) provides the most comprehensive asymptotic theory for linear functionals of KRR. For any g ∈ H defining a linear functional l(f) = ⟨f, g⟩_H, they establish: (i) exact bias and variance rates that depend on an interpolation parameter δ measuring the smoothness of g relative to H; (ii) a CLT showing that the standardized functional is asymptotically N(0,1) under appropriate λ choices; (iii) multivariate extensions for joint inference on multiple functionals (e.g., derivatives at multiple points). The key rates from their Table 1 are:</w:t>
      </w:r>
    </w:p>
    <w:p>
      <w:pPr>
        <w:spacing w:after="160" w:line="276"/>
      </w:pPr>
      <w:r>
        <w:t xml:space="preserve">For point evaluation (g = K(·, x_0)): Var ~ n^{−1}λ^{−d/m}, Bias ~ λ^{1−d/(2m)}. For L_2 inner products (integrated functionals): Var ~ n^{−1}, Bias ~ λ^{1/2}. The optimal λ ~ n^{−1} yields the parametric rate for smooth functionals, and the semiparametric rate n^{−1/2} when the functional is sufficiently smooth (δ = 1).</w:t>
      </w:r>
    </w:p>
    <w:p>
      <w:pPr>
        <w:pStyle w:val="Heading2"/>
        <w:spacing w:before="280" w:after="180"/>
      </w:pPr>
      <w:r>
        <w:rPr>
          <w:b/>
          <w:bCs/>
        </w:rPr>
        <w:t xml:space="preserve">6.2 Testing Whether a Lagrange Multiplier Is Nonzero</w:t>
      </w:r>
    </w:p>
    <w:p>
      <w:pPr>
        <w:spacing w:after="160" w:line="276"/>
      </w:pPr>
      <w:r>
        <w:t xml:space="preserve">A central economic question in Theory-KRR is whether a particular theory contributes to out-of-sample prediction. Formally, this amounts to testing H_0: μ_j = 0 vs. H_1: μ_j &gt; 0 for each structural penalty j. There are several approaches, informed by the papers we have reviewed.</w:t>
      </w:r>
    </w:p>
    <w:p>
      <w:pPr>
        <w:spacing w:after="160" w:line="276"/>
      </w:pPr>
      <w:r>
        <w:rPr>
          <w:b/>
          <w:bCs/>
        </w:rPr>
        <w:t xml:space="preserve">Approach 1: Out-of-sample test based on the marginal R^2 contribution.</w:t>
      </w:r>
      <w:r>
        <w:t xml:space="preserve"> Compare the OOS R^2 of the estimator with μ_j &gt; 0 vs. μ_j = 0. Under the null that theory j provides no additional predictive power, the difference in OOS R^2 converges to zero at rate O(1/√T). A one-sided test rejects when the improvement exceeds a critical value derived from the asymptotic distribution of the OOS loss difference. This is analogous to the Diebold-Mariano test for forecast comparison.</w:t>
      </w:r>
    </w:p>
    <w:p>
      <w:pPr>
        <w:spacing w:after="160" w:line="276"/>
      </w:pPr>
      <w:r>
        <w:rPr>
          <w:b/>
          <w:bCs/>
        </w:rPr>
        <w:t xml:space="preserve">Approach 2: Functional PLS-type hypothesis test.</w:t>
      </w:r>
      <w:r>
        <w:t xml:space="preserve"> The functional PLS paper provides a test statistic W_n = n||K̂(β̂_m − β)||^2 that converges to a weighted chi-squared distribution Σ ω_j Z_j^2. Adapting this to Theory-KRR, one can test whether the structural penalty’s influence on the estimator is statistically significant by comparing the constrained and unconstrained estimators.</w:t>
      </w:r>
    </w:p>
    <w:p>
      <w:pPr>
        <w:spacing w:after="160" w:line="276"/>
      </w:pPr>
      <w:r>
        <w:rPr>
          <w:b/>
          <w:bCs/>
        </w:rPr>
        <w:t xml:space="preserve">Approach 3: Score-type test from the KKT conditions.</w:t>
      </w:r>
      <w:r>
        <w:t xml:space="preserve"> At the optimum, if μ_j = 0, the gradient of C_j with respect to f evaluated at the unconstrained KRR solution provides a test statistic. If the gradient is large, there is evidence that imposing C_j would improve the objective. This is analogous to the Lagrange multiplier (score) test in parametric estimation. The asymptotic distribution follows from the linear functional CLT (Theorem 6 of 2403.04248v3), since the gradient of C_j at f̂ is a linear functional of f̂.</w:t>
      </w:r>
    </w:p>
    <w:p>
      <w:pPr>
        <w:pStyle w:val="Heading2"/>
        <w:spacing w:before="280" w:after="180"/>
      </w:pPr>
      <w:r>
        <w:rPr>
          <w:b/>
          <w:bCs/>
        </w:rPr>
        <w:t xml:space="preserve">6.3 Uniform Confidence Bands</w:t>
      </w:r>
    </w:p>
    <w:p>
      <w:pPr>
        <w:spacing w:after="160" w:line="276"/>
      </w:pPr>
      <w:r>
        <w:t xml:space="preserve">The KIV inference paper (Singh, 2511.21603v2) constructs valid and sharp uniform confidence bands for kernel estimators in the RKHS norm. Their Theorem 1 achieves O(1/n)-validity using an anti-symmetric Gaussian multiplier bootstrap. For Theory-KRR, uniform confidence bands for f̂ can be constructed by extending this approach: the bootstrap procedure generates draws from the asymptotic Gaussian process approximation of n^{1/2}(f̂ − f*), and the band is calibrated by the bootstrap quantile of ||Z||_H. The structural penalties affect the band width through the bias term—correctly specified penalties reduce bias and narrow the bands.</w:t>
      </w:r>
    </w:p>
    <w:p>
      <w:pPr>
        <w:spacing w:after="160" w:line="276"/>
      </w:pPr>
      <w:r>
        <w:t xml:space="preserve">The asymptotic theory of Fischer and Steinwart (2403.04248v3, Theorem 7) shows that for point evaluation, the uniform error over a compact set achieves the minimax L_∞ rate (n^{−1} log n)^{(2m−d)/(4m)} with λ ~ n^{−1} log n, enabling valid simultaneous confidence intervals for f̂ at multiple evaluation points.</w:t>
      </w:r>
    </w:p>
    <w:p>
      <w:r>
        <w:br w:type="page"/>
      </w:r>
    </w:p>
    <w:p>
      <w:pPr>
        <w:pStyle w:val="Heading1"/>
        <w:spacing w:before="360" w:after="240"/>
      </w:pPr>
      <w:r>
        <w:rPr>
          <w:b/>
          <w:bCs/>
        </w:rPr>
        <w:t xml:space="preserve">7. Departures from Convexity: A Deeper Analysis</w:t>
      </w:r>
    </w:p>
    <w:p>
      <w:pPr>
        <w:pStyle w:val="Heading2"/>
        <w:spacing w:before="280" w:after="180"/>
      </w:pPr>
      <w:r>
        <w:rPr>
          <w:b/>
          <w:bCs/>
        </w:rPr>
        <w:t xml:space="preserve">7.1 The Landscape of Theory-KRR</w:t>
      </w:r>
    </w:p>
    <w:p>
      <w:pPr>
        <w:spacing w:after="160" w:line="276"/>
      </w:pPr>
      <w:r>
        <w:t xml:space="preserve">When C_j^{Euler}(f) involves a nonlinear SDF specification M_j(θ_j, X_t, X_{t+1}), the penalty is nonconvex in the evaluations f(X_s). The finite-dimensional reduction to α ∈ R^n yields an objective that is the sum of a strongly convex quadratic and a nonconvex perturbation. The EPFL thesis provides the conceptual framework for analyzing such landscapes: in the spiked Wigner model, the nonconvex loss has a benign landscape (no spurious local minima) when the signal-to-noise ratio exceeds 1, but exhibits a rugged landscape with exponentially many critical points below this threshold.</w:t>
      </w:r>
    </w:p>
    <w:p>
      <w:pPr>
        <w:spacing w:after="160" w:line="276"/>
      </w:pPr>
      <w:r>
        <w:t xml:space="preserve">For Theory-KRR, the relevant signal-to-noise ratio is the ratio of the convex curvature (from the KRR component, scaling as 2λ_stat λ_min(K)/n) to the nonconvex curvature (from the structural penalties, bounded by the spectral norm of the Hessian of Σ_j μ_j C̃_j). When this ratio exceeds 1, the overall landscape is convex and the solution is unique. When it is below 1, multiple local minima may exist, but gradient-based methods starting from the KRR solution (without penalties) are likely to converge to the global minimum, as the KRR solution provides a warm start in the basin of attraction of the correct minimum.</w:t>
      </w:r>
    </w:p>
    <w:p>
      <w:pPr>
        <w:pStyle w:val="Heading2"/>
        <w:spacing w:before="280" w:after="180"/>
      </w:pPr>
      <w:r>
        <w:rPr>
          <w:b/>
          <w:bCs/>
        </w:rPr>
        <w:t xml:space="preserve">7.2 The Representer Theorem Under Nonconvexity</w:t>
      </w:r>
    </w:p>
    <w:p>
      <w:pPr>
        <w:spacing w:after="160" w:line="276"/>
      </w:pPr>
      <w:r>
        <w:t xml:space="preserve">A remarkable feature of the Theory-KRR framework is that the representer theorem (Proposition 13) holds regardless of the convexity of C_j. The proof relies only on the evaluation-dependence property C_j(f) = C̃_j(f(X_1), ..., f(X_n)) and the orthogonal decomposition H = V ⊕ V^⊥ where V = span{k(X_s, ·)}. Since the objective depends on f only through its evaluations at data points (via C_j) and its RKHS norm (which decomposes orthogonally), the perpendicular component f_⊥ can only increase ||f||^2_H without affecting the other terms. This is a </w:t>
      </w:r>
      <w:r>
        <w:rPr>
          <w:i/>
          <w:iCs/>
        </w:rPr>
        <w:t xml:space="preserve">deterministic</w:t>
      </w:r>
      <w:r>
        <w:t xml:space="preserve"> argument that does not require convexity—it requires only that λ_stat &gt; 0, so that the RKHS penalty is active.</w:t>
      </w:r>
    </w:p>
    <w:p>
      <w:pPr>
        <w:spacing w:after="160" w:line="276"/>
      </w:pPr>
      <w:r>
        <w:t xml:space="preserve">This means the finite-dimensional reduction to α ∈ R^n is valid even when the reduced problem over α has multiple local minima. Every global minimizer in H corresponds to a global minimizer over α, and every local minimizer in H corresponds to a local minimizer over α. The representer theorem reduces the search space but does not eliminate multiplicity of critical points.</w:t>
      </w:r>
    </w:p>
    <w:p>
      <w:pPr>
        <w:pStyle w:val="Heading2"/>
        <w:spacing w:before="280" w:after="180"/>
      </w:pPr>
      <w:r>
        <w:rPr>
          <w:b/>
          <w:bCs/>
        </w:rPr>
        <w:t xml:space="preserve">7.3 Computational Strategies for Nonconvex Penalties</w:t>
      </w:r>
    </w:p>
    <w:p>
      <w:pPr>
        <w:spacing w:after="160" w:line="276"/>
      </w:pPr>
      <w:r>
        <w:t xml:space="preserve">Several computational strategies emerge from the literature. First, the IRWLS algorithm of Cawley et al. (ijcnn2007a) can be extended to handle nonconvex penalties via majorization-minimization: at each iteration, C_j is replaced by a convex majorant, and the resulting convex sub-problem is solved exactly. This guarantees monotone decrease of the objective. Second, the gradient flow analysis of Bodin (EPFL_TH10524) suggests that continuous-time gradient descent on the Theory-KRR objective converges to a critical point, and with probability approaching one (over the random initialization), this critical point is a local minimum with objective value close to the global minimum. Third, the spectral methods paper (2512.14473v2) suggests that gradient flow may offer faster convergence than ridge-type methods due to faster decay of the residual function, motivating iterative solvers for the nonconvex Theory-KRR problem.</w:t>
      </w:r>
    </w:p>
    <w:p>
      <w:r>
        <w:br w:type="page"/>
      </w:r>
    </w:p>
    <w:p>
      <w:pPr>
        <w:pStyle w:val="Heading1"/>
        <w:spacing w:before="360" w:after="240"/>
      </w:pPr>
      <w:r>
        <w:rPr>
          <w:b/>
          <w:bCs/>
        </w:rPr>
        <w:t xml:space="preserve">8. Synthesis and Recommendations</w:t>
      </w:r>
    </w:p>
    <w:p>
      <w:pPr>
        <w:pStyle w:val="Heading2"/>
        <w:spacing w:before="280" w:after="180"/>
      </w:pPr>
      <w:r>
        <w:rPr>
          <w:b/>
          <w:bCs/>
        </w:rPr>
        <w:t xml:space="preserve">8.1 Summary of Findings</w:t>
      </w:r>
    </w:p>
    <w:p>
      <w:pPr>
        <w:spacing w:after="160" w:line="276"/>
      </w:pPr>
      <w:r>
        <w:rPr>
          <w:b/>
          <w:bCs/>
        </w:rPr>
        <w:t xml:space="preserve">Is KRR optimal?</w:t>
      </w:r>
      <w:r>
        <w:t xml:space="preserve"> KRR is minimax-optimal when the source condition parameter satisfies 0 &lt; s ≤ 1, meaning the target function’s smoothness relative to the RKHS is moderate. For smoother targets (s &gt; 1), KRR saturates and cannot exploit the extra regularity. However, the structural penalties in Theory-KRR can partially mitigate saturation by effectively reducing the function class. The spectral methods paper confirms that KRR, as a spectral method, fundamentally lacks feature learning—it cannot adapt to the alignment between f* and the kernel eigenbasis—but structural penalties can serve as a surrogate for feature alignment.</w:t>
      </w:r>
    </w:p>
    <w:p>
      <w:pPr>
        <w:spacing w:after="160" w:line="276"/>
      </w:pPr>
      <w:r>
        <w:rPr>
          <w:b/>
          <w:bCs/>
        </w:rPr>
        <w:t xml:space="preserve">Is the solution unique?</w:t>
      </w:r>
      <w:r>
        <w:t xml:space="preserve"> Yes, when all penalties are convex or when the nonconvex perturbation is sufficiently small relative to λ_stat λ_min(K)/n. The representer theorem holds regardless of convexity, reducing the infinite-dimensional problem to a finite-dimensional one. The sufficient condition for uniqueness—that the spectral norm of the Hessian of the nonconvex penalties is bounded by twice the convex curvature—is verifiable in practice.</w:t>
      </w:r>
    </w:p>
    <w:p>
      <w:pPr>
        <w:spacing w:after="160" w:line="276"/>
      </w:pPr>
      <w:r>
        <w:rPr>
          <w:b/>
          <w:bCs/>
        </w:rPr>
        <w:t xml:space="preserve">How to cross-validate?</w:t>
      </w:r>
      <w:r>
        <w:t xml:space="preserve"> Temporal cross-validation with a rolling or expanding window is appropriate for the panel data setting. The GCV consistency result (Zhang et al., 2408.01062v2) provides theoretical backing for GCV-based selection of λ_stat. For the full multiplier vector, a hierarchical approach—first λ_stat, then sequential forward selection of μ_j—is computationally feasible and theoretically grounded. The effective dimension N(λ) provides a model complexity measure that does not depend on f*.</w:t>
      </w:r>
    </w:p>
    <w:p>
      <w:pPr>
        <w:spacing w:after="160" w:line="276"/>
      </w:pPr>
      <w:r>
        <w:rPr>
          <w:b/>
          <w:bCs/>
        </w:rPr>
        <w:t xml:space="preserve">How to test μ_j ≠ 0?</w:t>
      </w:r>
      <w:r>
        <w:t xml:space="preserve"> Three approaches are available: (i) OOS R^2 comparison (Diebold-Mariano style), (ii) functional hypothesis testing adapted from the PLS literature, and (iii) score-type tests using the gradient of C_j at the unconstrained KRR solution. The asymptotic normality of linear functionals of KRR (Fischer and Steinwart, 2403.04248v3) provides the distributional theory for approaches (ii) and (iii).</w:t>
      </w:r>
    </w:p>
    <w:p>
      <w:pPr>
        <w:pStyle w:val="Heading2"/>
        <w:spacing w:before="280" w:after="180"/>
      </w:pPr>
      <w:r>
        <w:rPr>
          <w:b/>
          <w:bCs/>
        </w:rPr>
        <w:t xml:space="preserve">8.2 Recommendations for the Paper</w:t>
      </w:r>
    </w:p>
    <w:p>
      <w:pPr>
        <w:spacing w:after="160" w:line="276"/>
      </w:pPr>
      <w:r>
        <w:t xml:space="preserve">Based on this analysis, we suggest the following directions for main-2: (i) explicitly state the source condition assumed on f* and discuss the saturation boundary; (ii) provide the sufficient condition for uniqueness in terms of the spectral norm of penalty Hessians; (iii) discuss the relationship between temporal CV and GCV, citing the polynomial-scaling GCV results; (iv) consider adding a formal testing procedure for individual μ_j based on the score test or OOS comparison; (v) discuss the misspecification robustness of the kernel choice using the GP regression results of Wang and Jing (2022), which show that oversmoothing is safe; (vi) connect the hierarchical CV strategy to the oracle inequalities from the penalized GMM literature.</w:t>
      </w:r>
    </w:p>
    <w:p>
      <w:pPr>
        <w:pStyle w:val="Heading2"/>
        <w:spacing w:before="280" w:after="180"/>
      </w:pPr>
      <w:r>
        <w:rPr>
          <w:b/>
          <w:bCs/>
        </w:rPr>
        <w:t xml:space="preserve">8.3 Open Questions</w:t>
      </w:r>
    </w:p>
    <w:p>
      <w:pPr>
        <w:spacing w:after="160" w:line="276"/>
      </w:pPr>
      <w:r>
        <w:t xml:space="preserve">Several questions remain open and could form the basis for future theoretical work. First, can the saturation barrier be formally broken by correct structural penalties? A precise statement would require characterizing the effective source condition of f* restricted to the subspace consistent with economic theory. Second, what is the minimax rate for the Theory-KRR estimator as a function of both the source condition and the number/quality of structural restrictions? Third, can the asymptotic theory for linear functionals be extended to the dependent-data, multi-penalty setting with estimated nuisance parameters (θ̂_j in the Euler equation penalties)? Fourth, is there an information-theoretic lower bound on the number of penalties J above which cross-validation necessarily overfits?</w:t>
      </w:r>
    </w:p>
    <w:p>
      <w:r>
        <w:br w:type="page"/>
      </w:r>
    </w:p>
    <w:p>
      <w:pPr>
        <w:pStyle w:val="Heading1"/>
        <w:spacing w:before="360" w:after="240"/>
      </w:pPr>
      <w:r>
        <w:rPr>
          <w:b/>
          <w:bCs/>
        </w:rPr>
        <w:t xml:space="preserve">References</w:t>
      </w:r>
    </w:p>
    <w:p>
      <w:pPr>
        <w:spacing w:after="160" w:line="276"/>
      </w:pPr>
      <w:r>
        <w:t xml:space="preserve">Bodin, A. (2024). Random matrix methods for high-dimensional machine learning. EPFL PhD Thesis 10524.</w:t>
      </w:r>
    </w:p>
    <w:p>
      <w:pPr>
        <w:spacing w:after="160" w:line="276"/>
      </w:pPr>
      <w:r>
        <w:t xml:space="preserve">Cawley, G.C., Janacek, G.J., Talbot, N.L.C. (2007). Generalised kernel machines. IJCNN 2007.</w:t>
      </w:r>
    </w:p>
    <w:p>
      <w:pPr>
        <w:spacing w:after="160" w:line="276"/>
      </w:pPr>
      <w:r>
        <w:t xml:space="preserve">Fischer, S. and Steinwart, I. (2024). Asymptotic theory for linear functionals of kernel ridge regression. arXiv:2403.04248v3.</w:t>
      </w:r>
    </w:p>
    <w:p>
      <w:pPr>
        <w:spacing w:after="160" w:line="276"/>
      </w:pPr>
      <w:r>
        <w:t xml:space="preserve">Hu, H. and Lu, Y.M. (2022). Sharp asymptotics of kernel ridge regression beyond the linear regime. arXiv:2205.06798v1.</w:t>
      </w:r>
    </w:p>
    <w:p>
      <w:pPr>
        <w:spacing w:after="160" w:line="276"/>
      </w:pPr>
      <w:r>
        <w:t xml:space="preserve">Li, Y. and Zhang, Y. (2023). On the saturation effect of kernel ridge regression. ICLR 2023. arXiv:2405.09362v2.</w:t>
      </w:r>
    </w:p>
    <w:p>
      <w:pPr>
        <w:spacing w:after="160" w:line="276"/>
      </w:pPr>
      <w:r>
        <w:t xml:space="preserve">Singh, R. (2024). Uniform inference for kernel instrumental variable regression. arXiv:2511.21603v2.</w:t>
      </w:r>
    </w:p>
    <w:p>
      <w:pPr>
        <w:spacing w:after="160" w:line="276"/>
      </w:pPr>
      <w:r>
        <w:t xml:space="preserve">Wang, H. and Jing, B.-Y. (2022). Gaussian process regression: optimality, robustness, and relationship with KRR. JMLR 22(1):21-0570.</w:t>
      </w:r>
    </w:p>
    <w:p>
      <w:pPr>
        <w:spacing w:after="160" w:line="276"/>
      </w:pPr>
      <w:r>
        <w:t xml:space="preserve">Zhang, H., Li, Y., Lu, Y.M., and Lin, J. (2025). Optimal rates of kernel ridge regression under source condition in large dimensions. JMLR. 23-1679.</w:t>
      </w:r>
    </w:p>
    <w:p>
      <w:pPr>
        <w:spacing w:after="160" w:line="276"/>
      </w:pPr>
      <w:r>
        <w:t xml:space="preserve">Zhang, H., Lu, Y.M., and Lin, J. (2024a). Phase diagram of kernel interpolation in large dimensions. arXiv:2404.12597v1.</w:t>
      </w:r>
    </w:p>
    <w:p>
      <w:pPr>
        <w:spacing w:after="160" w:line="276"/>
      </w:pPr>
      <w:r>
        <w:t xml:space="preserve">Zhang, H. et al. (2024b). A geometrical analysis of kernel ridge regression and its applications. arXiv:2404.07709v2.</w:t>
      </w:r>
    </w:p>
    <w:p>
      <w:pPr>
        <w:spacing w:after="160" w:line="276"/>
      </w:pPr>
      <w:r>
        <w:t xml:space="preserve">Zhang, H. et al. (2024c). Kernel ridge regression in the quadratic regime. arXiv:2408.01062v2.</w:t>
      </w:r>
    </w:p>
    <w:p>
      <w:pPr>
        <w:spacing w:after="160" w:line="276"/>
      </w:pPr>
      <w:r>
        <w:t xml:space="preserve">Babii, A. et al. (2024). Functional partial least-squares: adaptive estimation and inference.</w:t>
      </w:r>
    </w:p>
    <w:p>
      <w:pPr>
        <w:spacing w:after="160" w:line="276"/>
      </w:pPr>
      <w:r>
        <w:t xml:space="preserve">Fukumizu, K. and Leng, C. (2013). Gradient-based kernel dimension reduction for regression. JASA.</w:t>
      </w:r>
    </w:p>
    <w:p>
      <w:pPr>
        <w:spacing w:after="160" w:line="276"/>
      </w:pPr>
      <w:r>
        <w:t xml:space="preserve">[2512.14473v2] Sharp convergence rates for spectral methods via the feature space decomposition method.</w:t>
      </w:r>
    </w:p>
    <w:p>
      <w:pPr>
        <w:spacing w:after="160" w:line="276"/>
      </w:pPr>
      <w:r>
        <w:t xml:space="preserve">[2410.21858v5, 2504.21419v2, wp_tse_1091] Additional references on kernel methods and optimization from the theory_info folder.</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Econometric Analysis of Theory-Informed KRR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Palatino Linotype" w:cs="Palatino Linotype" w:eastAsia="Palatino Linotype" w:hAnsi="Palatino Linotype"/>
      <w:b/>
      <w:bCs/>
      <w:color w:val="1F3864"/>
      <w:sz w:val="32"/>
      <w:szCs w:val="32"/>
    </w:rPr>
  </w:style>
  <w:style w:type="paragraph" w:styleId="Heading2">
    <w:name w:val="Heading 2"/>
    <w:basedOn w:val="Normal"/>
    <w:next w:val="Normal"/>
    <w:qFormat/>
    <w:pPr>
      <w:spacing w:before="280" w:after="180"/>
      <w:outlineLvl w:val="1"/>
    </w:pPr>
    <w:rPr>
      <w:rFonts w:ascii="Palatino Linotype" w:cs="Palatino Linotype" w:eastAsia="Palatino Linotype" w:hAnsi="Palatino Linotype"/>
      <w:b/>
      <w:bCs/>
      <w:color w:val="2E75B6"/>
      <w:sz w:val="27"/>
      <w:szCs w:val="27"/>
    </w:rPr>
  </w:style>
  <w:style w:type="paragraph" w:styleId="Heading3">
    <w:name w:val="Heading 3"/>
    <w:basedOn w:val="Normal"/>
    <w:next w:val="Normal"/>
    <w:qFormat/>
    <w:pPr>
      <w:spacing w:before="200" w:after="120"/>
      <w:outlineLvl w:val="2"/>
    </w:pPr>
    <w:rPr>
      <w:rFonts w:ascii="Palatino Linotype" w:cs="Palatino Linotype" w:eastAsia="Palatino Linotype" w:hAnsi="Palatino Linotype"/>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2026-03-16T19:08:02.462Z</dcterms:created>
  <dcterms:modified xsi:type="dcterms:W3CDTF">2026-03-16T19:08:02.462Z</dcterms:modified>
</cp:coreProperties>
</file>

<file path=docProps/custom.xml><?xml version="1.0" encoding="utf-8"?>
<Properties xmlns="http://schemas.openxmlformats.org/officeDocument/2006/custom-properties" xmlns:vt="http://schemas.openxmlformats.org/officeDocument/2006/docPropsVTypes"/>
</file>