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3253B">
      <w:pPr>
        <w:jc w:val="center"/>
        <w:rPr>
          <w:rFonts w:ascii="Times New Roman" w:hAnsi="Times New Roman" w:eastAsia="黑体"/>
          <w:b/>
          <w:sz w:val="44"/>
        </w:rPr>
      </w:pPr>
      <w:r>
        <w:rPr>
          <w:rFonts w:ascii="Times New Roman" w:hAnsi="Times New Roman" w:eastAsia="黑体"/>
          <w:b/>
          <w:sz w:val="44"/>
        </w:rPr>
        <w:t>影响分析报告（IA-001）</w:t>
      </w:r>
    </w:p>
    <w:p w14:paraId="2F5FC4F6">
      <w:pPr>
        <w:jc w:val="center"/>
        <w:rPr>
          <w:rFonts w:ascii="Times New Roman" w:hAnsi="Times New Roman" w:eastAsia="黑体"/>
          <w:b/>
          <w:sz w:val="44"/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82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078BDC2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文档属性</w:t>
            </w:r>
          </w:p>
        </w:tc>
        <w:tc>
          <w:tcPr>
            <w:tcW w:w="4320" w:type="dxa"/>
            <w:noWrap w:val="0"/>
            <w:vAlign w:val="top"/>
          </w:tcPr>
          <w:p w14:paraId="4629459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</w:tr>
      <w:tr w14:paraId="06AF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6F6D634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影响分析编号</w:t>
            </w:r>
          </w:p>
        </w:tc>
        <w:tc>
          <w:tcPr>
            <w:tcW w:w="4320" w:type="dxa"/>
            <w:noWrap w:val="0"/>
            <w:vAlign w:val="top"/>
          </w:tcPr>
          <w:p w14:paraId="1467424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IA-001</w:t>
            </w:r>
          </w:p>
        </w:tc>
      </w:tr>
      <w:tr w14:paraId="6A0F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6E31955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关联变更编号</w:t>
            </w:r>
          </w:p>
        </w:tc>
        <w:tc>
          <w:tcPr>
            <w:tcW w:w="4320" w:type="dxa"/>
            <w:noWrap w:val="0"/>
            <w:vAlign w:val="top"/>
          </w:tcPr>
          <w:p w14:paraId="029412A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CR-001</w:t>
            </w:r>
          </w:p>
        </w:tc>
      </w:tr>
      <w:tr w14:paraId="30B8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6A9AA72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项目名称</w:t>
            </w:r>
          </w:p>
        </w:tc>
        <w:tc>
          <w:tcPr>
            <w:tcW w:w="4320" w:type="dxa"/>
            <w:noWrap w:val="0"/>
            <w:vAlign w:val="top"/>
          </w:tcPr>
          <w:p w14:paraId="62CD579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图书借阅和归还登记系统</w:t>
            </w:r>
          </w:p>
        </w:tc>
      </w:tr>
      <w:tr w14:paraId="6C9B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2928B3B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变更前后基线</w:t>
            </w:r>
          </w:p>
        </w:tc>
        <w:tc>
          <w:tcPr>
            <w:tcW w:w="4320" w:type="dxa"/>
            <w:noWrap w:val="0"/>
            <w:vAlign w:val="top"/>
          </w:tcPr>
          <w:p w14:paraId="556A22B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V1.0 → V1.1</w:t>
            </w:r>
          </w:p>
        </w:tc>
      </w:tr>
      <w:tr w14:paraId="400C1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17A54B4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变更名称</w:t>
            </w:r>
          </w:p>
        </w:tc>
        <w:tc>
          <w:tcPr>
            <w:tcW w:w="4320" w:type="dxa"/>
            <w:noWrap w:val="0"/>
            <w:vAlign w:val="top"/>
          </w:tcPr>
          <w:p w14:paraId="785B1B4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分级借阅额度需求新增与关联需求修订</w:t>
            </w:r>
          </w:p>
        </w:tc>
      </w:tr>
      <w:tr w14:paraId="4339E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2719AAA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分析人</w:t>
            </w:r>
          </w:p>
        </w:tc>
        <w:tc>
          <w:tcPr>
            <w:tcW w:w="4320" w:type="dxa"/>
            <w:noWrap w:val="0"/>
            <w:vAlign w:val="top"/>
          </w:tcPr>
          <w:p w14:paraId="5585A38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sz w:val="24"/>
                <w:lang w:val="en-US" w:eastAsia="zh-CN"/>
              </w:rPr>
              <w:t>蒋福静</w:t>
            </w:r>
          </w:p>
        </w:tc>
      </w:tr>
      <w:tr w14:paraId="74B5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331F989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分析日期</w:t>
            </w:r>
          </w:p>
        </w:tc>
        <w:tc>
          <w:tcPr>
            <w:tcW w:w="4320" w:type="dxa"/>
            <w:noWrap w:val="0"/>
            <w:vAlign w:val="top"/>
          </w:tcPr>
          <w:p w14:paraId="1ECFE3D8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4"/>
              </w:rPr>
              <w:t>2026-10-2</w:t>
            </w:r>
            <w:r>
              <w:rPr>
                <w:rFonts w:hint="eastAsia" w:ascii="Times New Roman" w:hAnsi="Times New Roman" w:eastAsia="宋体"/>
                <w:sz w:val="24"/>
                <w:lang w:val="en-US" w:eastAsia="zh-CN"/>
              </w:rPr>
              <w:t>0</w:t>
            </w:r>
          </w:p>
        </w:tc>
      </w:tr>
      <w:tr w14:paraId="5B867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014340F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关联记录</w:t>
            </w:r>
          </w:p>
        </w:tc>
        <w:tc>
          <w:tcPr>
            <w:tcW w:w="4320" w:type="dxa"/>
            <w:noWrap w:val="0"/>
            <w:vAlign w:val="top"/>
          </w:tcPr>
          <w:p w14:paraId="7B07801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CR-001 需求变更请求；CCB-001 审批记录；VR-001 验证记录</w:t>
            </w:r>
          </w:p>
        </w:tc>
      </w:tr>
    </w:tbl>
    <w:p w14:paraId="0EA9625F">
      <w:pPr>
        <w:pStyle w:val="3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38"/>
          <w:rFonts w:hint="default" w:ascii="Consolas" w:hAnsi="Consolas" w:eastAsia="Consolas" w:cs="Consolas"/>
        </w:rPr>
        <w:t>归档声明</w:t>
      </w:r>
      <w:r>
        <w:rPr>
          <w:rStyle w:val="138"/>
          <w:rFonts w:hint="eastAsia" w:ascii="Consolas" w:hAnsi="Consolas" w:cs="Consolas"/>
          <w:lang w:eastAsia="zh-CN"/>
        </w:rPr>
        <w:t>：</w:t>
      </w:r>
      <w:r>
        <w:rPr>
          <w:rStyle w:val="138"/>
          <w:rFonts w:hint="default" w:ascii="Consolas" w:hAnsi="Consolas" w:eastAsia="Consolas" w:cs="Consolas"/>
        </w:rPr>
        <w:t>本文件为《影响分析报告（IA-001）》原独立版。其内容已于 2026-10-20 并入《需求变更文档》（CR-001，V1.1）附录 A。自 V1.1 修订基线（BL-CR001-V1.1）建立之日起，本文件停止独立维护，不再作为受控版本对外引用，仅作历史追溯留存。如需最新内容，请查阅 CR-001 V1.1 附录 A。</w:t>
      </w:r>
    </w:p>
    <w:p w14:paraId="568443C7">
      <w:pPr>
        <w:rPr>
          <w:rFonts w:ascii="Times New Roman" w:hAnsi="Times New Roman" w:eastAsia="黑体"/>
          <w:b/>
          <w:sz w:val="32"/>
        </w:rPr>
      </w:pPr>
    </w:p>
    <w:p w14:paraId="6B5CF61E">
      <w:pPr>
        <w:rPr>
          <w:rFonts w:ascii="Times New Roman" w:hAnsi="Times New Roman" w:eastAsia="黑体"/>
          <w:b/>
          <w:sz w:val="32"/>
        </w:rPr>
      </w:pPr>
    </w:p>
    <w:p w14:paraId="5A4E38DB">
      <w:pPr>
        <w:rPr>
          <w:rFonts w:ascii="Times New Roman" w:hAnsi="Times New Roman" w:eastAsia="黑体"/>
          <w:b/>
          <w:sz w:val="32"/>
        </w:rPr>
      </w:pPr>
    </w:p>
    <w:p w14:paraId="79151BE9">
      <w:pPr>
        <w:rPr>
          <w:rFonts w:ascii="Times New Roman" w:hAnsi="Times New Roman" w:eastAsia="黑体"/>
          <w:b/>
          <w:sz w:val="32"/>
        </w:rPr>
      </w:pPr>
    </w:p>
    <w:p w14:paraId="41542AFB">
      <w:pPr>
        <w:rPr>
          <w:rFonts w:ascii="Times New Roman" w:hAnsi="Times New Roman" w:eastAsia="黑体"/>
          <w:b/>
          <w:sz w:val="32"/>
        </w:rPr>
      </w:pPr>
    </w:p>
    <w:p w14:paraId="0187C14E">
      <w:pPr>
        <w:rPr>
          <w:rFonts w:ascii="Times New Roman" w:hAnsi="Times New Roman" w:eastAsia="黑体"/>
          <w:b/>
          <w:sz w:val="32"/>
        </w:rPr>
      </w:pPr>
    </w:p>
    <w:p w14:paraId="28700AAB">
      <w:pPr>
        <w:rPr>
          <w:rFonts w:ascii="Times New Roman" w:hAnsi="Times New Roman" w:eastAsia="黑体"/>
          <w:b/>
          <w:sz w:val="32"/>
        </w:rPr>
      </w:pPr>
    </w:p>
    <w:p w14:paraId="659C1733">
      <w:pPr>
        <w:rPr>
          <w:rFonts w:ascii="Times New Roman" w:hAnsi="Times New Roman" w:eastAsia="黑体"/>
          <w:b/>
          <w:sz w:val="32"/>
        </w:rPr>
      </w:pPr>
    </w:p>
    <w:p w14:paraId="0C56A90B">
      <w:pPr>
        <w:rPr>
          <w:rFonts w:ascii="Times New Roman" w:hAnsi="Times New Roman" w:eastAsia="黑体"/>
          <w:b/>
          <w:sz w:val="32"/>
        </w:rPr>
      </w:pPr>
    </w:p>
    <w:p w14:paraId="23ED50D8">
      <w:pPr>
        <w:rPr>
          <w:rFonts w:ascii="Times New Roman" w:hAnsi="Times New Roman" w:eastAsia="黑体"/>
          <w:b/>
          <w:sz w:val="32"/>
        </w:rPr>
      </w:pPr>
    </w:p>
    <w:p w14:paraId="524FB1F3">
      <w:pPr>
        <w:rPr>
          <w:rFonts w:ascii="Times New Roman" w:hAnsi="Times New Roman" w:eastAsia="黑体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17956B6D">
      <w:pPr>
        <w:rPr>
          <w:rFonts w:ascii="Times New Roman" w:hAnsi="Times New Roman" w:eastAsia="黑体"/>
        </w:rPr>
      </w:pPr>
      <w:bookmarkStart w:id="64" w:name="_GoBack"/>
      <w:bookmarkEnd w:id="64"/>
    </w:p>
    <w:p w14:paraId="5C0CE264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6C9E1D97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TOC \o "1-2" \h \u </w:instrText>
      </w:r>
      <w:r>
        <w:rPr>
          <w:rFonts w:ascii="Times New Roman" w:hAnsi="Times New Roman" w:eastAsia="黑体"/>
        </w:rPr>
        <w:fldChar w:fldCharType="separate"/>
      </w: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_Toc22889 </w:instrText>
      </w:r>
      <w:r>
        <w:rPr>
          <w:rFonts w:ascii="Times New Roman" w:hAnsi="Times New Roman" w:eastAsia="黑体"/>
        </w:rPr>
        <w:fldChar w:fldCharType="separate"/>
      </w:r>
      <w:r>
        <w:t>1. 分析概述</w:t>
      </w:r>
      <w:r>
        <w:tab/>
      </w:r>
      <w:r>
        <w:fldChar w:fldCharType="begin"/>
      </w:r>
      <w:r>
        <w:instrText xml:space="preserve"> PAGEREF _Toc22889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28BDB06D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_Toc10558 </w:instrText>
      </w:r>
      <w:r>
        <w:rPr>
          <w:rFonts w:ascii="Times New Roman" w:hAnsi="Times New Roman" w:eastAsia="黑体"/>
        </w:rPr>
        <w:fldChar w:fldCharType="separate"/>
      </w:r>
      <w:r>
        <w:t>1.1 分析目的</w:t>
      </w:r>
      <w:r>
        <w:tab/>
      </w:r>
      <w:r>
        <w:fldChar w:fldCharType="begin"/>
      </w:r>
      <w:r>
        <w:instrText xml:space="preserve"> PAGEREF _Toc10558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73448B39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_Toc28579 </w:instrText>
      </w:r>
      <w:r>
        <w:rPr>
          <w:rFonts w:ascii="Times New Roman" w:hAnsi="Times New Roman" w:eastAsia="黑体"/>
        </w:rPr>
        <w:fldChar w:fldCharType="separate"/>
      </w:r>
      <w:r>
        <w:t>1.2 变更内容摘要</w:t>
      </w:r>
      <w:r>
        <w:tab/>
      </w:r>
      <w:r>
        <w:fldChar w:fldCharType="begin"/>
      </w:r>
      <w:r>
        <w:instrText xml:space="preserve"> PAGEREF _Toc28579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3D3AB01C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_Toc12793 </w:instrText>
      </w:r>
      <w:r>
        <w:rPr>
          <w:rFonts w:ascii="Times New Roman" w:hAnsi="Times New Roman" w:eastAsia="黑体"/>
        </w:rPr>
        <w:fldChar w:fldCharType="separate"/>
      </w:r>
      <w:r>
        <w:t>1.3 分析范围</w:t>
      </w:r>
      <w:r>
        <w:tab/>
      </w:r>
      <w:r>
        <w:fldChar w:fldCharType="begin"/>
      </w:r>
      <w:r>
        <w:instrText xml:space="preserve"> PAGEREF _Toc12793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196D8F5A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_Toc17626 </w:instrText>
      </w:r>
      <w:r>
        <w:rPr>
          <w:rFonts w:ascii="Times New Roman" w:hAnsi="Times New Roman" w:eastAsia="黑体"/>
        </w:rPr>
        <w:fldChar w:fldCharType="separate"/>
      </w:r>
      <w:r>
        <w:t>2. 需求影响分析</w:t>
      </w:r>
      <w:r>
        <w:tab/>
      </w:r>
      <w:r>
        <w:fldChar w:fldCharType="begin"/>
      </w:r>
      <w:r>
        <w:instrText xml:space="preserve"> PAGEREF _Toc17626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772B51AC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_Toc28474 </w:instrText>
      </w:r>
      <w:r>
        <w:rPr>
          <w:rFonts w:ascii="Times New Roman" w:hAnsi="Times New Roman" w:eastAsia="黑体"/>
        </w:rPr>
        <w:fldChar w:fldCharType="separate"/>
      </w:r>
      <w:r>
        <w:t>2.1 需求条目变更</w:t>
      </w:r>
      <w:r>
        <w:tab/>
      </w:r>
      <w:r>
        <w:fldChar w:fldCharType="begin"/>
      </w:r>
      <w:r>
        <w:instrText xml:space="preserve"> PAGEREF _Toc28474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78A626B4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_Toc13571 </w:instrText>
      </w:r>
      <w:r>
        <w:rPr>
          <w:rFonts w:ascii="Times New Roman" w:hAnsi="Times New Roman" w:eastAsia="黑体"/>
        </w:rPr>
        <w:fldChar w:fldCharType="separate"/>
      </w:r>
      <w:r>
        <w:t>2.2 需求追踪关系</w:t>
      </w:r>
      <w:r>
        <w:tab/>
      </w:r>
      <w:r>
        <w:fldChar w:fldCharType="begin"/>
      </w:r>
      <w:r>
        <w:instrText xml:space="preserve"> PAGEREF _Toc13571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318E7E30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_Toc2848 </w:instrText>
      </w:r>
      <w:r>
        <w:rPr>
          <w:rFonts w:ascii="Times New Roman" w:hAnsi="Times New Roman" w:eastAsia="黑体"/>
        </w:rPr>
        <w:fldChar w:fldCharType="separate"/>
      </w:r>
      <w:r>
        <w:t>3. 功能与业务流程影响</w:t>
      </w:r>
      <w:r>
        <w:tab/>
      </w:r>
      <w:r>
        <w:fldChar w:fldCharType="begin"/>
      </w:r>
      <w:r>
        <w:instrText xml:space="preserve"> PAGEREF _Toc2848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288FE782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_Toc28621 </w:instrText>
      </w:r>
      <w:r>
        <w:rPr>
          <w:rFonts w:ascii="Times New Roman" w:hAnsi="Times New Roman" w:eastAsia="黑体"/>
        </w:rPr>
        <w:fldChar w:fldCharType="separate"/>
      </w:r>
      <w:r>
        <w:t>3.1 影响领域评估</w:t>
      </w:r>
      <w:r>
        <w:tab/>
      </w:r>
      <w:r>
        <w:fldChar w:fldCharType="begin"/>
      </w:r>
      <w:r>
        <w:instrText xml:space="preserve"> PAGEREF _Toc28621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553F4F94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_Toc13413 </w:instrText>
      </w:r>
      <w:r>
        <w:rPr>
          <w:rFonts w:ascii="Times New Roman" w:hAnsi="Times New Roman" w:eastAsia="黑体"/>
        </w:rPr>
        <w:fldChar w:fldCharType="separate"/>
      </w:r>
      <w:r>
        <w:t>3.2 业务流程关键变化点</w:t>
      </w:r>
      <w:r>
        <w:tab/>
      </w:r>
      <w:r>
        <w:fldChar w:fldCharType="begin"/>
      </w:r>
      <w:r>
        <w:instrText xml:space="preserve"> PAGEREF _Toc13413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18BA3D56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_Toc22454 </w:instrText>
      </w:r>
      <w:r>
        <w:rPr>
          <w:rFonts w:ascii="Times New Roman" w:hAnsi="Times New Roman" w:eastAsia="黑体"/>
        </w:rPr>
        <w:fldChar w:fldCharType="separate"/>
      </w:r>
      <w:r>
        <w:t>3.3 保持不变的内容</w:t>
      </w:r>
      <w:r>
        <w:tab/>
      </w:r>
      <w:r>
        <w:fldChar w:fldCharType="begin"/>
      </w:r>
      <w:r>
        <w:instrText xml:space="preserve"> PAGEREF _Toc22454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58664EA4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_Toc32683 </w:instrText>
      </w:r>
      <w:r>
        <w:rPr>
          <w:rFonts w:ascii="Times New Roman" w:hAnsi="Times New Roman" w:eastAsia="黑体"/>
        </w:rPr>
        <w:fldChar w:fldCharType="separate"/>
      </w:r>
      <w:r>
        <w:t>4. 数据与接口影响</w:t>
      </w:r>
      <w:r>
        <w:tab/>
      </w:r>
      <w:r>
        <w:fldChar w:fldCharType="begin"/>
      </w:r>
      <w:r>
        <w:instrText xml:space="preserve"> PAGEREF _Toc32683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531B7F98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_Toc25215 </w:instrText>
      </w:r>
      <w:r>
        <w:rPr>
          <w:rFonts w:ascii="Times New Roman" w:hAnsi="Times New Roman" w:eastAsia="黑体"/>
        </w:rPr>
        <w:fldChar w:fldCharType="separate"/>
      </w:r>
      <w:r>
        <w:t>5. 测试影响分析</w:t>
      </w:r>
      <w:r>
        <w:tab/>
      </w:r>
      <w:r>
        <w:fldChar w:fldCharType="begin"/>
      </w:r>
      <w:r>
        <w:instrText xml:space="preserve"> PAGEREF _Toc25215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3BE92F9C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_Toc14488 </w:instrText>
      </w:r>
      <w:r>
        <w:rPr>
          <w:rFonts w:ascii="Times New Roman" w:hAnsi="Times New Roman" w:eastAsia="黑体"/>
        </w:rPr>
        <w:fldChar w:fldCharType="separate"/>
      </w:r>
      <w:r>
        <w:t>5.1 测试范围新增</w:t>
      </w:r>
      <w:r>
        <w:tab/>
      </w:r>
      <w:r>
        <w:fldChar w:fldCharType="begin"/>
      </w:r>
      <w:r>
        <w:instrText xml:space="preserve"> PAGEREF _Toc14488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29D76A03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_Toc20096 </w:instrText>
      </w:r>
      <w:r>
        <w:rPr>
          <w:rFonts w:ascii="Times New Roman" w:hAnsi="Times New Roman" w:eastAsia="黑体"/>
        </w:rPr>
        <w:fldChar w:fldCharType="separate"/>
      </w:r>
      <w:r>
        <w:t>5.2 验收条件（追踪 CR-001 第六章）</w:t>
      </w:r>
      <w:r>
        <w:tab/>
      </w:r>
      <w:r>
        <w:fldChar w:fldCharType="begin"/>
      </w:r>
      <w:r>
        <w:instrText xml:space="preserve"> PAGEREF _Toc20096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60D1B00A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_Toc18525 </w:instrText>
      </w:r>
      <w:r>
        <w:rPr>
          <w:rFonts w:ascii="Times New Roman" w:hAnsi="Times New Roman" w:eastAsia="黑体"/>
        </w:rPr>
        <w:fldChar w:fldCharType="separate"/>
      </w:r>
      <w:r>
        <w:t>6. 文档与配置管理影响</w:t>
      </w:r>
      <w:r>
        <w:tab/>
      </w:r>
      <w:r>
        <w:fldChar w:fldCharType="begin"/>
      </w:r>
      <w:r>
        <w:instrText xml:space="preserve"> PAGEREF _Toc18525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45779452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_Toc23412 </w:instrText>
      </w:r>
      <w:r>
        <w:rPr>
          <w:rFonts w:ascii="Times New Roman" w:hAnsi="Times New Roman" w:eastAsia="黑体"/>
        </w:rPr>
        <w:fldChar w:fldCharType="separate"/>
      </w:r>
      <w:r>
        <w:t>7. 风险识别与应对</w:t>
      </w:r>
      <w:r>
        <w:tab/>
      </w:r>
      <w:r>
        <w:fldChar w:fldCharType="begin"/>
      </w:r>
      <w:r>
        <w:instrText xml:space="preserve"> PAGEREF _Toc23412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18B42071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_Toc17880 </w:instrText>
      </w:r>
      <w:r>
        <w:rPr>
          <w:rFonts w:ascii="Times New Roman" w:hAnsi="Times New Roman" w:eastAsia="黑体"/>
        </w:rPr>
        <w:fldChar w:fldCharType="separate"/>
      </w:r>
      <w:r>
        <w:t>8. 进度与资源影响</w:t>
      </w:r>
      <w:r>
        <w:tab/>
      </w:r>
      <w:r>
        <w:fldChar w:fldCharType="begin"/>
      </w:r>
      <w:r>
        <w:instrText xml:space="preserve"> PAGEREF _Toc17880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15E6CC4B">
      <w:pPr>
        <w:pStyle w:val="29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_Toc27303 </w:instrText>
      </w:r>
      <w:r>
        <w:rPr>
          <w:rFonts w:ascii="Times New Roman" w:hAnsi="Times New Roman" w:eastAsia="黑体"/>
        </w:rPr>
        <w:fldChar w:fldCharType="separate"/>
      </w:r>
      <w:r>
        <w:t>9. 变更关闭条件（追踪 CR-001 第八章）</w:t>
      </w:r>
      <w:r>
        <w:tab/>
      </w:r>
      <w:r>
        <w:fldChar w:fldCharType="begin"/>
      </w:r>
      <w:r>
        <w:instrText xml:space="preserve"> PAGEREF _Toc27303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045E41D4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_Toc9079 </w:instrText>
      </w:r>
      <w:r>
        <w:rPr>
          <w:rFonts w:ascii="Times New Roman" w:hAnsi="Times New Roman" w:eastAsia="黑体"/>
        </w:rPr>
        <w:fldChar w:fldCharType="separate"/>
      </w:r>
      <w:r>
        <w:t>10. 结论与建议</w:t>
      </w:r>
      <w:r>
        <w:tab/>
      </w:r>
      <w:r>
        <w:fldChar w:fldCharType="begin"/>
      </w:r>
      <w:r>
        <w:instrText xml:space="preserve"> PAGEREF _Toc9079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1593237C">
      <w:pPr>
        <w:pStyle w:val="26"/>
        <w:tabs>
          <w:tab w:val="right" w:leader="dot" w:pos="8640"/>
        </w:tabs>
      </w:pPr>
      <w:r>
        <w:rPr>
          <w:rFonts w:ascii="Times New Roman" w:hAnsi="Times New Roman" w:eastAsia="黑体"/>
        </w:rPr>
        <w:fldChar w:fldCharType="begin"/>
      </w:r>
      <w:r>
        <w:rPr>
          <w:rFonts w:ascii="Times New Roman" w:hAnsi="Times New Roman" w:eastAsia="黑体"/>
        </w:rPr>
        <w:instrText xml:space="preserve"> HYPERLINK \l _Toc18875 </w:instrText>
      </w:r>
      <w:r>
        <w:rPr>
          <w:rFonts w:ascii="Times New Roman" w:hAnsi="Times New Roman" w:eastAsia="黑体"/>
        </w:rPr>
        <w:fldChar w:fldCharType="separate"/>
      </w:r>
      <w:r>
        <w:t>附录 A：关联文档索引</w:t>
      </w:r>
      <w:r>
        <w:tab/>
      </w:r>
      <w:r>
        <w:fldChar w:fldCharType="begin"/>
      </w:r>
      <w:r>
        <w:instrText xml:space="preserve"> PAGEREF _Toc18875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黑体"/>
        </w:rPr>
        <w:fldChar w:fldCharType="end"/>
      </w:r>
    </w:p>
    <w:p w14:paraId="4B5D05D1">
      <w:pPr>
        <w:rPr>
          <w:rFonts w:ascii="Times New Roman" w:hAnsi="Times New Roman" w:eastAsia="黑体"/>
        </w:rPr>
        <w:sectPr>
          <w:footerReference r:id="rId5" w:type="default"/>
          <w:pgSz w:w="12240" w:h="15840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  <w:r>
        <w:rPr>
          <w:rFonts w:ascii="Times New Roman" w:hAnsi="Times New Roman" w:eastAsia="黑体"/>
        </w:rPr>
        <w:fldChar w:fldCharType="end"/>
      </w:r>
    </w:p>
    <w:p w14:paraId="1CB773B2">
      <w:pPr>
        <w:pStyle w:val="3"/>
        <w:bidi w:val="0"/>
      </w:pPr>
      <w:bookmarkStart w:id="0" w:name="_Toc9857"/>
      <w:bookmarkStart w:id="1" w:name="_Toc16974"/>
      <w:bookmarkStart w:id="2" w:name="_Toc19452"/>
      <w:bookmarkStart w:id="3" w:name="_Toc22889"/>
      <w:r>
        <w:t>1. 分析概述</w:t>
      </w:r>
      <w:bookmarkEnd w:id="0"/>
      <w:bookmarkEnd w:id="1"/>
      <w:bookmarkEnd w:id="2"/>
      <w:bookmarkEnd w:id="3"/>
    </w:p>
    <w:p w14:paraId="193542BA">
      <w:pPr>
        <w:pStyle w:val="4"/>
        <w:bidi w:val="0"/>
      </w:pPr>
      <w:bookmarkStart w:id="4" w:name="_Toc6787"/>
      <w:bookmarkStart w:id="5" w:name="_Toc10558"/>
      <w:r>
        <w:t>1.1 分析目的</w:t>
      </w:r>
      <w:bookmarkEnd w:id="4"/>
      <w:bookmarkEnd w:id="5"/>
    </w:p>
    <w:p w14:paraId="0FF47786">
      <w:pPr>
        <w:bidi w:val="0"/>
      </w:pPr>
      <w:r>
        <w:t>本报告针对 CR-001 需求变更开展影响分析，识别该变更对需求、功能流程、数据、接口、测试、文档配置及进度资源的潜在影响，评估风险并提出控制措施，为 CCB-001 审批和后续实施、验证提供依据。</w:t>
      </w:r>
    </w:p>
    <w:p w14:paraId="37F9D9EA">
      <w:pPr>
        <w:pStyle w:val="4"/>
        <w:bidi w:val="0"/>
      </w:pPr>
      <w:bookmarkStart w:id="6" w:name="_Toc17912"/>
      <w:bookmarkStart w:id="7" w:name="_Toc28579"/>
      <w:r>
        <w:t>1.2 变更内容摘要</w:t>
      </w:r>
      <w:bookmarkEnd w:id="6"/>
      <w:bookmarkEnd w:id="7"/>
    </w:p>
    <w:p w14:paraId="1740753D">
      <w:pPr>
        <w:bidi w:val="0"/>
      </w:pPr>
      <w:r>
        <w:t>CR-001 对系统分级借阅额度需求进行新增与修订，核心变化如下：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05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0903859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需求 ID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081A4A6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变更类型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3331118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变更内容</w:t>
            </w:r>
          </w:p>
        </w:tc>
      </w:tr>
      <w:tr w14:paraId="0D818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4B025E2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REQ-USER-11</w:t>
            </w:r>
          </w:p>
        </w:tc>
        <w:tc>
          <w:tcPr>
            <w:tcW w:w="2880" w:type="dxa"/>
            <w:noWrap w:val="0"/>
            <w:vAlign w:val="top"/>
          </w:tcPr>
          <w:p w14:paraId="68CE9B3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新增</w:t>
            </w:r>
          </w:p>
        </w:tc>
        <w:tc>
          <w:tcPr>
            <w:tcW w:w="2880" w:type="dxa"/>
            <w:noWrap w:val="0"/>
            <w:vAlign w:val="top"/>
          </w:tcPr>
          <w:p w14:paraId="1A241DC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定义三类读者额度：本科生 5 本、研究生 10 本、教师 15 本；额度规则由规则表配置；新增读者默认类型为“本科生”</w:t>
            </w:r>
          </w:p>
        </w:tc>
      </w:tr>
      <w:tr w14:paraId="21CF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48BE09F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REQ-USER-01</w:t>
            </w:r>
          </w:p>
        </w:tc>
        <w:tc>
          <w:tcPr>
            <w:tcW w:w="2880" w:type="dxa"/>
            <w:noWrap w:val="0"/>
            <w:vAlign w:val="top"/>
          </w:tcPr>
          <w:p w14:paraId="226A132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修订</w:t>
            </w:r>
          </w:p>
        </w:tc>
        <w:tc>
          <w:tcPr>
            <w:tcW w:w="2880" w:type="dxa"/>
            <w:noWrap w:val="0"/>
            <w:vAlign w:val="top"/>
          </w:tcPr>
          <w:p w14:paraId="34EAA7F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读者信息维护由“读者类别与可借额度”明确为“读者证号、姓名、读者类型、邮箱、账号状态（正常／冻结）”</w:t>
            </w:r>
          </w:p>
        </w:tc>
      </w:tr>
      <w:tr w14:paraId="51C4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62F7233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REQ-BORROW-04</w:t>
            </w:r>
          </w:p>
        </w:tc>
        <w:tc>
          <w:tcPr>
            <w:tcW w:w="2880" w:type="dxa"/>
            <w:noWrap w:val="0"/>
            <w:vAlign w:val="top"/>
          </w:tcPr>
          <w:p w14:paraId="14FCA7F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修订</w:t>
            </w:r>
          </w:p>
        </w:tc>
        <w:tc>
          <w:tcPr>
            <w:tcW w:w="2880" w:type="dxa"/>
            <w:noWrap w:val="0"/>
            <w:vAlign w:val="top"/>
          </w:tcPr>
          <w:p w14:paraId="0543BED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借书登记明确“按 REQ-USER-11 规则表读取额度并校验”，保留图书状态校验、借阅记录生成、可借数量扣减及事务原子执行</w:t>
            </w:r>
          </w:p>
        </w:tc>
      </w:tr>
    </w:tbl>
    <w:p w14:paraId="222A02F0">
      <w:pPr>
        <w:bidi w:val="0"/>
      </w:pPr>
      <w:r>
        <w:t>该变更建立“读者类型—额度规则—借阅校验”的完整需求链路。</w:t>
      </w:r>
    </w:p>
    <w:p w14:paraId="0685A5AB">
      <w:pPr>
        <w:pStyle w:val="4"/>
        <w:bidi w:val="0"/>
      </w:pPr>
      <w:bookmarkStart w:id="8" w:name="_Toc8493"/>
      <w:bookmarkStart w:id="9" w:name="_Toc12793"/>
      <w:r>
        <w:t>1.3 分析范围</w:t>
      </w:r>
      <w:bookmarkEnd w:id="8"/>
      <w:bookmarkEnd w:id="9"/>
    </w:p>
    <w:p w14:paraId="098D8747">
      <w:pPr>
        <w:bidi w:val="0"/>
      </w:pPr>
      <w:r>
        <w:rPr>
          <w:b/>
          <w:bCs/>
        </w:rPr>
        <w:t>纳入范围</w:t>
      </w:r>
      <w:r>
        <w:t>：读者信息字段、读者类型默认值、分级额度配置、借书时额度校验逻辑、需求跟踪与相关测试。</w:t>
      </w:r>
    </w:p>
    <w:p w14:paraId="0CE2C6CC">
      <w:pPr>
        <w:bidi w:val="0"/>
      </w:pPr>
      <w:r>
        <w:rPr>
          <w:b/>
          <w:bCs/>
        </w:rPr>
        <w:t>不纳入范围</w:t>
      </w:r>
      <w:r>
        <w:t>：图书状态校验、借阅记录生成、可借数量扣减及事务原子性等既有要求保持不变；图书检索、归还、续借、逾期和统计需求不属于本次直接变更范围。如实施中发现其他模块必须修改，应记录实际影响并按项目流程评估。</w:t>
      </w:r>
    </w:p>
    <w:p w14:paraId="4C91922E">
      <w:pPr>
        <w:pStyle w:val="3"/>
        <w:bidi w:val="0"/>
      </w:pPr>
      <w:bookmarkStart w:id="10" w:name="_Toc790"/>
      <w:bookmarkStart w:id="11" w:name="_Toc20159"/>
      <w:bookmarkStart w:id="12" w:name="_Toc28747"/>
      <w:bookmarkStart w:id="13" w:name="_Toc17626"/>
      <w:r>
        <w:t>2. 需求影响分析</w:t>
      </w:r>
      <w:bookmarkEnd w:id="10"/>
      <w:bookmarkEnd w:id="11"/>
      <w:bookmarkEnd w:id="12"/>
      <w:bookmarkEnd w:id="13"/>
    </w:p>
    <w:p w14:paraId="18D70B9B">
      <w:pPr>
        <w:pStyle w:val="4"/>
        <w:bidi w:val="0"/>
      </w:pPr>
      <w:bookmarkStart w:id="14" w:name="_Toc16551"/>
      <w:bookmarkStart w:id="15" w:name="_Toc28474"/>
      <w:r>
        <w:t>2.1 需求条目变更</w:t>
      </w:r>
      <w:bookmarkEnd w:id="14"/>
      <w:bookmarkEnd w:id="1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277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5DF20B3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需求 ID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2042CAD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影响程度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52BE9A0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影响说明</w:t>
            </w:r>
          </w:p>
        </w:tc>
      </w:tr>
      <w:tr w14:paraId="2A7C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146A5AB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REQ-USER-11</w:t>
            </w:r>
          </w:p>
        </w:tc>
        <w:tc>
          <w:tcPr>
            <w:tcW w:w="2880" w:type="dxa"/>
            <w:noWrap w:val="0"/>
            <w:vAlign w:val="top"/>
          </w:tcPr>
          <w:p w14:paraId="0277C14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880" w:type="dxa"/>
            <w:noWrap w:val="0"/>
            <w:vAlign w:val="top"/>
          </w:tcPr>
          <w:p w14:paraId="48FD720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新增独立需求，为额度校验提供统一取值来源与追踪点，需在需求池、SRS、跟踪矩阵中建立记录</w:t>
            </w:r>
          </w:p>
        </w:tc>
      </w:tr>
      <w:tr w14:paraId="4CF97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7E9324B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REQ-USER-01</w:t>
            </w:r>
          </w:p>
        </w:tc>
        <w:tc>
          <w:tcPr>
            <w:tcW w:w="2880" w:type="dxa"/>
            <w:noWrap w:val="0"/>
            <w:vAlign w:val="top"/>
          </w:tcPr>
          <w:p w14:paraId="2842EA5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中—高</w:t>
            </w:r>
          </w:p>
        </w:tc>
        <w:tc>
          <w:tcPr>
            <w:tcW w:w="2880" w:type="dxa"/>
            <w:noWrap w:val="0"/>
            <w:vAlign w:val="top"/>
          </w:tcPr>
          <w:p w14:paraId="0F48D89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字段口径调整，读者信息模型从“类别+额度”改为“类型+邮箱+账号状态”，需核查表单、字段、校验逻辑</w:t>
            </w:r>
          </w:p>
        </w:tc>
      </w:tr>
      <w:tr w14:paraId="597F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402FBE4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REQ-BORROW-04</w:t>
            </w:r>
          </w:p>
        </w:tc>
        <w:tc>
          <w:tcPr>
            <w:tcW w:w="2880" w:type="dxa"/>
            <w:noWrap w:val="0"/>
            <w:vAlign w:val="top"/>
          </w:tcPr>
          <w:p w14:paraId="37C4115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880" w:type="dxa"/>
            <w:noWrap w:val="0"/>
            <w:vAlign w:val="top"/>
          </w:tcPr>
          <w:p w14:paraId="3532A6E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借书校验依据从模糊的“读者额度”明确为 REQ-USER-11 规则表，需调整取值路径并保持事务原子性</w:t>
            </w:r>
          </w:p>
        </w:tc>
      </w:tr>
    </w:tbl>
    <w:p w14:paraId="4F4CC9B6">
      <w:pPr>
        <w:pStyle w:val="4"/>
        <w:bidi w:val="0"/>
      </w:pPr>
      <w:bookmarkStart w:id="16" w:name="_Toc4739"/>
      <w:bookmarkStart w:id="17" w:name="_Toc13571"/>
      <w:r>
        <w:t>2.2 需求追踪关系</w:t>
      </w:r>
      <w:bookmarkEnd w:id="16"/>
      <w:bookmarkEnd w:id="17"/>
    </w:p>
    <w:p w14:paraId="1247BA07">
      <w:pPr>
        <w:bidi w:val="0"/>
      </w:pPr>
      <w:r>
        <w:t>变更后需在需求跟踪矩阵中建立以下追踪链路：</w:t>
      </w:r>
    </w:p>
    <w:p w14:paraId="15294BF2">
      <w:pPr>
        <w:bidi w:val="0"/>
      </w:pPr>
      <w:r>
        <w:t>读者类型（REQ-USER-01） → 额度规则（REQ-USER-11） → 借阅校验（REQ-BORROW-04）</w:t>
      </w:r>
    </w:p>
    <w:p w14:paraId="511449B0">
      <w:pPr>
        <w:bidi w:val="0"/>
      </w:pPr>
      <w:r>
        <w:t>追踪矩阵应关联 CR-001、三个需求 ID、对应设计项、实现项和测试用例（CR-001-AC-01 ~ AC-09）</w:t>
      </w:r>
      <w:r>
        <w:rPr>
          <w:rFonts w:ascii="Times New Roman" w:hAnsi="Times New Roman" w:eastAsia="宋体"/>
        </w:rPr>
        <w:t>。</w:t>
      </w:r>
      <w:bookmarkStart w:id="18" w:name="_Toc6052"/>
      <w:bookmarkStart w:id="19" w:name="_Toc8167"/>
      <w:bookmarkStart w:id="20" w:name="_Toc1835"/>
    </w:p>
    <w:p w14:paraId="7850B4E7">
      <w:pPr>
        <w:pStyle w:val="3"/>
        <w:bidi w:val="0"/>
      </w:pPr>
      <w:bookmarkStart w:id="21" w:name="_Toc2848"/>
      <w:r>
        <w:t>3. 功能与业务流程影响</w:t>
      </w:r>
      <w:bookmarkEnd w:id="18"/>
      <w:bookmarkEnd w:id="19"/>
      <w:bookmarkEnd w:id="20"/>
      <w:bookmarkEnd w:id="21"/>
    </w:p>
    <w:p w14:paraId="0C967C53">
      <w:pPr>
        <w:pStyle w:val="4"/>
        <w:bidi w:val="0"/>
      </w:pPr>
      <w:bookmarkStart w:id="22" w:name="_Toc28621"/>
      <w:bookmarkStart w:id="23" w:name="_Toc16835"/>
      <w:r>
        <w:t>3.1 影响领域评估</w:t>
      </w:r>
      <w:bookmarkEnd w:id="22"/>
      <w:bookmarkEnd w:id="2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8B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51F6C23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影响领域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7B5697F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影响等级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0DEB1BC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影响说明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67AD196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控制措施</w:t>
            </w:r>
          </w:p>
        </w:tc>
      </w:tr>
      <w:tr w14:paraId="2ED1D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621E586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需求文档与需求池</w:t>
            </w:r>
          </w:p>
        </w:tc>
        <w:tc>
          <w:tcPr>
            <w:tcW w:w="2160" w:type="dxa"/>
            <w:noWrap w:val="0"/>
            <w:vAlign w:val="top"/>
          </w:tcPr>
          <w:p w14:paraId="2A10616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1CA81CA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新增 1 条、修订 2 条需求</w:t>
            </w:r>
          </w:p>
        </w:tc>
        <w:tc>
          <w:tcPr>
            <w:tcW w:w="2160" w:type="dxa"/>
            <w:noWrap w:val="0"/>
            <w:vAlign w:val="top"/>
          </w:tcPr>
          <w:p w14:paraId="0EFF3A35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同步更新 SRS、需求池及版本差异记录</w:t>
            </w:r>
          </w:p>
        </w:tc>
      </w:tr>
      <w:tr w14:paraId="3806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7CB9871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读者信息维护</w:t>
            </w:r>
          </w:p>
        </w:tc>
        <w:tc>
          <w:tcPr>
            <w:tcW w:w="2160" w:type="dxa"/>
            <w:noWrap w:val="0"/>
            <w:vAlign w:val="top"/>
          </w:tcPr>
          <w:p w14:paraId="039FC26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中—高</w:t>
            </w:r>
          </w:p>
        </w:tc>
        <w:tc>
          <w:tcPr>
            <w:tcW w:w="2160" w:type="dxa"/>
            <w:noWrap w:val="0"/>
            <w:vAlign w:val="top"/>
          </w:tcPr>
          <w:p w14:paraId="57B2E1C8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维护读者类型并处理默认值</w:t>
            </w:r>
          </w:p>
        </w:tc>
        <w:tc>
          <w:tcPr>
            <w:tcW w:w="2160" w:type="dxa"/>
            <w:noWrap w:val="0"/>
            <w:vAlign w:val="top"/>
          </w:tcPr>
          <w:p w14:paraId="2A46351B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核查表单、字段、校验和已有读者数据</w:t>
            </w:r>
          </w:p>
        </w:tc>
      </w:tr>
      <w:tr w14:paraId="3C88D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3B9D8E12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额度规则配置</w:t>
            </w:r>
          </w:p>
        </w:tc>
        <w:tc>
          <w:tcPr>
            <w:tcW w:w="2160" w:type="dxa"/>
            <w:noWrap w:val="0"/>
            <w:vAlign w:val="top"/>
          </w:tcPr>
          <w:p w14:paraId="214FA25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329B9053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额度由规则表提供</w:t>
            </w:r>
          </w:p>
        </w:tc>
        <w:tc>
          <w:tcPr>
            <w:tcW w:w="2160" w:type="dxa"/>
            <w:noWrap w:val="0"/>
            <w:vAlign w:val="top"/>
          </w:tcPr>
          <w:p w14:paraId="29FEBDA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核对规则存储、读取与需求数值一致性</w:t>
            </w:r>
          </w:p>
        </w:tc>
      </w:tr>
      <w:tr w14:paraId="5642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2925A39C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借书登记流程</w:t>
            </w:r>
          </w:p>
        </w:tc>
        <w:tc>
          <w:tcPr>
            <w:tcW w:w="2160" w:type="dxa"/>
            <w:noWrap w:val="0"/>
            <w:vAlign w:val="top"/>
          </w:tcPr>
          <w:p w14:paraId="5E34D70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087C40C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额度校验逻辑变化</w:t>
            </w:r>
          </w:p>
        </w:tc>
        <w:tc>
          <w:tcPr>
            <w:tcW w:w="2160" w:type="dxa"/>
            <w:noWrap w:val="0"/>
            <w:vAlign w:val="top"/>
          </w:tcPr>
          <w:p w14:paraId="3461E6FB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保留图书状态校验和事务原子性</w:t>
            </w:r>
          </w:p>
        </w:tc>
      </w:tr>
      <w:tr w14:paraId="1974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7C09CA96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数据库与接口</w:t>
            </w:r>
          </w:p>
        </w:tc>
        <w:tc>
          <w:tcPr>
            <w:tcW w:w="2160" w:type="dxa"/>
            <w:noWrap w:val="0"/>
            <w:vAlign w:val="top"/>
          </w:tcPr>
          <w:p w14:paraId="49DE553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待核查</w:t>
            </w:r>
          </w:p>
        </w:tc>
        <w:tc>
          <w:tcPr>
            <w:tcW w:w="2160" w:type="dxa"/>
            <w:noWrap w:val="0"/>
            <w:vAlign w:val="top"/>
          </w:tcPr>
          <w:p w14:paraId="3EC7913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是否需新增字段或调整规则表取决于当前实现</w:t>
            </w:r>
          </w:p>
        </w:tc>
        <w:tc>
          <w:tcPr>
            <w:tcW w:w="2160" w:type="dxa"/>
            <w:noWrap w:val="0"/>
            <w:vAlign w:val="top"/>
          </w:tcPr>
          <w:p w14:paraId="4ED82D46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由开发对照数据模型确认</w:t>
            </w:r>
          </w:p>
        </w:tc>
      </w:tr>
      <w:tr w14:paraId="1321D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2DCB507E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测试与验收</w:t>
            </w:r>
          </w:p>
        </w:tc>
        <w:tc>
          <w:tcPr>
            <w:tcW w:w="2160" w:type="dxa"/>
            <w:noWrap w:val="0"/>
            <w:vAlign w:val="top"/>
          </w:tcPr>
          <w:p w14:paraId="1E8EA1A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4B9BA37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覆盖三类额度边界、默认类型、超额拒绝、事务一致性及原流程回归</w:t>
            </w:r>
          </w:p>
        </w:tc>
        <w:tc>
          <w:tcPr>
            <w:tcW w:w="2160" w:type="dxa"/>
            <w:noWrap w:val="0"/>
            <w:vAlign w:val="top"/>
          </w:tcPr>
          <w:p w14:paraId="0B99BC3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按 VR-001 用例执行</w:t>
            </w:r>
          </w:p>
        </w:tc>
      </w:tr>
      <w:tr w14:paraId="533B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4101AF4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进度与资源</w:t>
            </w:r>
          </w:p>
        </w:tc>
        <w:tc>
          <w:tcPr>
            <w:tcW w:w="2160" w:type="dxa"/>
            <w:noWrap w:val="0"/>
            <w:vAlign w:val="top"/>
          </w:tcPr>
          <w:p w14:paraId="79F6EC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待核查</w:t>
            </w:r>
          </w:p>
        </w:tc>
        <w:tc>
          <w:tcPr>
            <w:tcW w:w="2160" w:type="dxa"/>
            <w:noWrap w:val="0"/>
            <w:vAlign w:val="top"/>
          </w:tcPr>
          <w:p w14:paraId="2111FBD5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依据实际实现差异估算工作量</w:t>
            </w:r>
          </w:p>
        </w:tc>
        <w:tc>
          <w:tcPr>
            <w:tcW w:w="2160" w:type="dxa"/>
            <w:noWrap w:val="0"/>
            <w:vAlign w:val="top"/>
          </w:tcPr>
          <w:p w14:paraId="0BACDCF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开发、测试、文档更新分别估算</w:t>
            </w:r>
          </w:p>
        </w:tc>
      </w:tr>
    </w:tbl>
    <w:p w14:paraId="645007B8">
      <w:pPr>
        <w:pStyle w:val="4"/>
        <w:bidi w:val="0"/>
      </w:pPr>
      <w:bookmarkStart w:id="24" w:name="_Toc17734"/>
      <w:bookmarkStart w:id="25" w:name="_Toc13413"/>
      <w:r>
        <w:t>3.2 业务流程关键变化点</w:t>
      </w:r>
      <w:bookmarkEnd w:id="24"/>
      <w:bookmarkEnd w:id="25"/>
    </w:p>
    <w:p w14:paraId="77AE22CA">
      <w:pPr>
        <w:bidi w:val="0"/>
      </w:pPr>
      <w:r>
        <w:rPr>
          <w:b/>
          <w:bCs/>
        </w:rPr>
        <w:t>1. 读者注册/信息维护</w:t>
      </w:r>
      <w:r>
        <w:t>：新增读者未指定类型时默认“本科生”；若注册流程允许管理员显式选择类型，应保存实际选择值，不应无条件覆盖为默认值。</w:t>
      </w:r>
    </w:p>
    <w:p w14:paraId="7F242728">
      <w:pPr>
        <w:bidi w:val="0"/>
      </w:pPr>
      <w:r>
        <w:rPr>
          <w:b/>
          <w:bCs/>
        </w:rPr>
        <w:t>2. 借书提交校验</w:t>
      </w:r>
      <w:r>
        <w:t>：根据读者当前类型从 REQ-USER-11 规则表获取最大可借数量，与当前有效借阅数量比较。</w:t>
      </w:r>
    </w:p>
    <w:p w14:paraId="1E1094D6">
      <w:pPr>
        <w:bidi w:val="0"/>
      </w:pPr>
      <w:r>
        <w:rPr>
          <w:b/>
          <w:bCs/>
        </w:rPr>
        <w:t>3</w:t>
      </w:r>
      <w:r>
        <w:rPr>
          <w:b/>
          <w:bCs/>
        </w:rPr>
        <w:t>. 超额处理</w:t>
      </w:r>
      <w:r>
        <w:t>：达到上限时，不应创建成功的借阅记录。</w:t>
      </w:r>
    </w:p>
    <w:p w14:paraId="78BBD765">
      <w:pPr>
        <w:bidi w:val="0"/>
      </w:pPr>
      <w:r>
        <w:rPr>
          <w:b/>
          <w:bCs/>
        </w:rPr>
        <w:t>4. 并发控制</w:t>
      </w:r>
      <w:r>
        <w:t>：页面展示的额度或可借状态不能代替服务端提交时的最终校验；借阅记录创建与可借数量扣减在同一事务完成，失败时回滚。</w:t>
      </w:r>
    </w:p>
    <w:p w14:paraId="1ED79DFF">
      <w:pPr>
        <w:pStyle w:val="4"/>
        <w:bidi w:val="0"/>
      </w:pPr>
      <w:bookmarkStart w:id="26" w:name="_Toc22454"/>
      <w:bookmarkStart w:id="27" w:name="_Toc27110"/>
      <w:r>
        <w:t>3.3 保持不变的内容</w:t>
      </w:r>
      <w:bookmarkEnd w:id="26"/>
      <w:bookmarkEnd w:id="27"/>
    </w:p>
    <w:p w14:paraId="62524DF2">
      <w:pPr>
        <w:bidi w:val="0"/>
        <w:rPr>
          <w:rFonts w:hint="eastAsia"/>
          <w:lang w:eastAsia="zh-CN"/>
        </w:rPr>
      </w:pPr>
      <w:r>
        <w:t>图书状态校验</w:t>
      </w:r>
      <w:r>
        <w:rPr>
          <w:rFonts w:hint="eastAsia"/>
          <w:lang w:eastAsia="zh-CN"/>
        </w:rPr>
        <w:t>、</w:t>
      </w:r>
      <w:r>
        <w:t>借阅记录生成</w:t>
      </w:r>
      <w:r>
        <w:rPr>
          <w:rFonts w:hint="eastAsia"/>
          <w:lang w:eastAsia="zh-CN"/>
        </w:rPr>
        <w:t>、</w:t>
      </w:r>
      <w:r>
        <w:t>可借数量扣减</w:t>
      </w:r>
      <w:r>
        <w:rPr>
          <w:rFonts w:hint="eastAsia"/>
          <w:lang w:eastAsia="zh-CN"/>
        </w:rPr>
        <w:t>、</w:t>
      </w:r>
      <w:r>
        <w:t>事务原子执行</w:t>
      </w:r>
      <w:r>
        <w:rPr>
          <w:rFonts w:hint="eastAsia"/>
          <w:lang w:eastAsia="zh-CN"/>
        </w:rPr>
        <w:t>、</w:t>
      </w:r>
      <w:r>
        <w:t>账号状态、图书可借状态校验规则</w:t>
      </w:r>
      <w:r>
        <w:rPr>
          <w:rFonts w:hint="eastAsia"/>
          <w:lang w:eastAsia="zh-CN"/>
        </w:rPr>
        <w:t>。</w:t>
      </w:r>
    </w:p>
    <w:p w14:paraId="0E18FB5D">
      <w:pPr>
        <w:pStyle w:val="3"/>
        <w:bidi w:val="0"/>
      </w:pPr>
      <w:bookmarkStart w:id="28" w:name="_Toc729"/>
      <w:bookmarkStart w:id="29" w:name="_Toc28478"/>
      <w:bookmarkStart w:id="30" w:name="_Toc15194"/>
      <w:bookmarkStart w:id="31" w:name="_Toc32683"/>
      <w:r>
        <w:t>4. 数据与接口影响</w:t>
      </w:r>
      <w:bookmarkEnd w:id="28"/>
      <w:bookmarkEnd w:id="29"/>
      <w:bookmarkEnd w:id="30"/>
      <w:bookmarkEnd w:id="3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7C6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53F717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项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289B20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影响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4FE79B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51AA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6809120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读者信息字段</w:t>
            </w:r>
          </w:p>
        </w:tc>
        <w:tc>
          <w:tcPr>
            <w:tcW w:w="2880" w:type="dxa"/>
            <w:noWrap w:val="0"/>
            <w:vAlign w:val="top"/>
          </w:tcPr>
          <w:p w14:paraId="01922A5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待核查</w:t>
            </w:r>
          </w:p>
        </w:tc>
        <w:tc>
          <w:tcPr>
            <w:tcW w:w="2880" w:type="dxa"/>
            <w:noWrap w:val="0"/>
            <w:vAlign w:val="top"/>
          </w:tcPr>
          <w:p w14:paraId="2D7447D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需确认当前数据模型是否已含“读者类型”“邮箱”“账号状态”字段，或需新增/迁移</w:t>
            </w:r>
          </w:p>
        </w:tc>
      </w:tr>
      <w:tr w14:paraId="2BE8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4E2896C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额度规则存储</w:t>
            </w:r>
          </w:p>
        </w:tc>
        <w:tc>
          <w:tcPr>
            <w:tcW w:w="2880" w:type="dxa"/>
            <w:noWrap w:val="0"/>
            <w:vAlign w:val="top"/>
          </w:tcPr>
          <w:p w14:paraId="4BB26AA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待核查</w:t>
            </w:r>
          </w:p>
        </w:tc>
        <w:tc>
          <w:tcPr>
            <w:tcW w:w="2880" w:type="dxa"/>
            <w:noWrap w:val="0"/>
            <w:vAlign w:val="top"/>
          </w:tcPr>
          <w:p w14:paraId="6AAA330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REQ-USER-11 要求额度由规则表配置，本文件不擅自指定表名、字段名或后台管理方式，由开发对照数据模型确认</w:t>
            </w:r>
          </w:p>
        </w:tc>
      </w:tr>
      <w:tr w14:paraId="003A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6E8DCC3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已有读者数据</w:t>
            </w:r>
          </w:p>
        </w:tc>
        <w:tc>
          <w:tcPr>
            <w:tcW w:w="2880" w:type="dxa"/>
            <w:noWrap w:val="0"/>
            <w:vAlign w:val="top"/>
          </w:tcPr>
          <w:p w14:paraId="7C67AE6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中</w:t>
            </w:r>
          </w:p>
        </w:tc>
        <w:tc>
          <w:tcPr>
            <w:tcW w:w="2880" w:type="dxa"/>
            <w:noWrap w:val="0"/>
            <w:vAlign w:val="top"/>
          </w:tcPr>
          <w:p w14:paraId="2F3E4EB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需核查历史数据中读者类型是否缺失或取值不规范，制定数据补充/默认值策略</w:t>
            </w:r>
          </w:p>
        </w:tc>
      </w:tr>
      <w:tr w14:paraId="0DAC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3C34C8A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接口</w:t>
            </w:r>
          </w:p>
        </w:tc>
        <w:tc>
          <w:tcPr>
            <w:tcW w:w="2880" w:type="dxa"/>
            <w:noWrap w:val="0"/>
            <w:vAlign w:val="top"/>
          </w:tcPr>
          <w:p w14:paraId="0B8E654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待核查</w:t>
            </w:r>
          </w:p>
        </w:tc>
        <w:tc>
          <w:tcPr>
            <w:tcW w:w="2880" w:type="dxa"/>
            <w:noWrap w:val="0"/>
            <w:vAlign w:val="top"/>
          </w:tcPr>
          <w:p w14:paraId="11A05655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借书登记接口的额度取值来源需从固定值或硬编码改为规则表读取</w:t>
            </w:r>
          </w:p>
        </w:tc>
      </w:tr>
    </w:tbl>
    <w:p w14:paraId="7AAC00C5">
      <w:r>
        <w:t>注意事项：开发实现应确保配置数值与需求一致，避免硬编码统一额度覆盖分级规则</w:t>
      </w:r>
      <w:r>
        <w:rPr>
          <w:rFonts w:ascii="Times New Roman" w:hAnsi="Times New Roman" w:eastAsia="宋体"/>
          <w:sz w:val="24"/>
        </w:rPr>
        <w:t>。</w:t>
      </w:r>
    </w:p>
    <w:p w14:paraId="592AB63B">
      <w:pPr>
        <w:pStyle w:val="3"/>
        <w:bidi w:val="0"/>
      </w:pPr>
      <w:bookmarkStart w:id="32" w:name="_Toc17281"/>
      <w:bookmarkStart w:id="33" w:name="_Toc14822"/>
      <w:bookmarkStart w:id="34" w:name="_Toc14267"/>
      <w:bookmarkStart w:id="35" w:name="_Toc25215"/>
      <w:r>
        <w:t>5. 测试影响分析</w:t>
      </w:r>
      <w:bookmarkEnd w:id="32"/>
      <w:bookmarkEnd w:id="33"/>
      <w:bookmarkEnd w:id="34"/>
      <w:bookmarkEnd w:id="35"/>
    </w:p>
    <w:p w14:paraId="6C8E1B15">
      <w:pPr>
        <w:pStyle w:val="4"/>
        <w:bidi w:val="0"/>
      </w:pPr>
      <w:bookmarkStart w:id="36" w:name="_Toc14488"/>
      <w:bookmarkStart w:id="37" w:name="_Toc8196"/>
      <w:r>
        <w:t>5.1 测试范围新增</w:t>
      </w:r>
      <w:bookmarkEnd w:id="36"/>
      <w:bookmarkEnd w:id="3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FF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BEBEBE" w:themeFill="background1" w:themeFillShade="BF"/>
            <w:noWrap w:val="0"/>
            <w:vAlign w:val="top"/>
          </w:tcPr>
          <w:p w14:paraId="24D766D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测试类型</w:t>
            </w:r>
          </w:p>
        </w:tc>
        <w:tc>
          <w:tcPr>
            <w:tcW w:w="4320" w:type="dxa"/>
            <w:shd w:val="clear" w:color="auto" w:fill="BEBEBE" w:themeFill="background1" w:themeFillShade="BF"/>
            <w:noWrap w:val="0"/>
            <w:vAlign w:val="top"/>
          </w:tcPr>
          <w:p w14:paraId="7447B79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</w:tr>
      <w:tr w14:paraId="3A1B3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014E1C6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边界值测试</w:t>
            </w:r>
          </w:p>
        </w:tc>
        <w:tc>
          <w:tcPr>
            <w:tcW w:w="4320" w:type="dxa"/>
            <w:noWrap w:val="0"/>
            <w:vAlign w:val="top"/>
          </w:tcPr>
          <w:p w14:paraId="631A3B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本科生 5/6、研究生 10/11、教师 15/16 的借阅临界场景</w:t>
            </w:r>
          </w:p>
        </w:tc>
      </w:tr>
      <w:tr w14:paraId="150D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3B7C985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默认值测试</w:t>
            </w:r>
          </w:p>
        </w:tc>
        <w:tc>
          <w:tcPr>
            <w:tcW w:w="4320" w:type="dxa"/>
            <w:noWrap w:val="0"/>
            <w:vAlign w:val="top"/>
          </w:tcPr>
          <w:p w14:paraId="3EEDF2B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新增读者未指定类型时默认“本科生”</w:t>
            </w:r>
          </w:p>
        </w:tc>
      </w:tr>
      <w:tr w14:paraId="07FE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7DD8125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规则读取测试</w:t>
            </w:r>
          </w:p>
        </w:tc>
        <w:tc>
          <w:tcPr>
            <w:tcW w:w="4320" w:type="dxa"/>
            <w:noWrap w:val="0"/>
            <w:vAlign w:val="top"/>
          </w:tcPr>
          <w:p w14:paraId="2AD381D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借书流程按读者类型从规则表读取额度</w:t>
            </w:r>
          </w:p>
        </w:tc>
      </w:tr>
      <w:tr w14:paraId="5A7A1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59E9270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事务一致性测试</w:t>
            </w:r>
          </w:p>
        </w:tc>
        <w:tc>
          <w:tcPr>
            <w:tcW w:w="4320" w:type="dxa"/>
            <w:noWrap w:val="0"/>
            <w:vAlign w:val="top"/>
          </w:tcPr>
          <w:p w14:paraId="65BE25A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借阅记录与可借数量更新的原子性、失败回滚</w:t>
            </w:r>
          </w:p>
        </w:tc>
      </w:tr>
      <w:tr w14:paraId="386C7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68BABE1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回归测试</w:t>
            </w:r>
          </w:p>
        </w:tc>
        <w:tc>
          <w:tcPr>
            <w:tcW w:w="4320" w:type="dxa"/>
            <w:noWrap w:val="0"/>
            <w:vAlign w:val="top"/>
          </w:tcPr>
          <w:p w14:paraId="024F53A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图书不可借、读者状态不合格时按原规则拒绝；原借阅流程不受影响</w:t>
            </w:r>
          </w:p>
        </w:tc>
      </w:tr>
    </w:tbl>
    <w:p w14:paraId="6923073B">
      <w:pPr>
        <w:bidi w:val="0"/>
      </w:pPr>
      <w:bookmarkStart w:id="38" w:name="_Toc11270"/>
    </w:p>
    <w:p w14:paraId="78BFA68E">
      <w:pPr>
        <w:pStyle w:val="4"/>
        <w:bidi w:val="0"/>
      </w:pPr>
      <w:bookmarkStart w:id="39" w:name="_Toc20096"/>
      <w:r>
        <w:t>5.2 验收条件（追踪 CR-001 第六章）</w:t>
      </w:r>
      <w:bookmarkEnd w:id="38"/>
      <w:bookmarkEnd w:id="3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C2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1CAC427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验收编号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7787083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关联需求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7689BDC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验收条件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3DDEAFC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验证方式</w:t>
            </w:r>
          </w:p>
        </w:tc>
      </w:tr>
      <w:tr w14:paraId="27EE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3E08D84D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CR-001-AC-01</w:t>
            </w:r>
          </w:p>
        </w:tc>
        <w:tc>
          <w:tcPr>
            <w:tcW w:w="2160" w:type="dxa"/>
            <w:noWrap w:val="0"/>
            <w:vAlign w:val="top"/>
          </w:tcPr>
          <w:p w14:paraId="5F09186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REQ-USER-01</w:t>
            </w:r>
          </w:p>
        </w:tc>
        <w:tc>
          <w:tcPr>
            <w:tcW w:w="2160" w:type="dxa"/>
            <w:noWrap w:val="0"/>
            <w:vAlign w:val="top"/>
          </w:tcPr>
          <w:p w14:paraId="1C951F92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读者信息可记录读者类型、证号、姓名、邮箱和账号状态</w:t>
            </w:r>
          </w:p>
        </w:tc>
        <w:tc>
          <w:tcPr>
            <w:tcW w:w="2160" w:type="dxa"/>
            <w:noWrap w:val="0"/>
            <w:vAlign w:val="top"/>
          </w:tcPr>
          <w:p w14:paraId="1ABC2AF5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功能测试／字段检查</w:t>
            </w:r>
          </w:p>
        </w:tc>
      </w:tr>
      <w:tr w14:paraId="766C1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16F871C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CR-001-AC-02</w:t>
            </w:r>
          </w:p>
        </w:tc>
        <w:tc>
          <w:tcPr>
            <w:tcW w:w="2160" w:type="dxa"/>
            <w:noWrap w:val="0"/>
            <w:vAlign w:val="top"/>
          </w:tcPr>
          <w:p w14:paraId="7C961673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REQ-USER-11</w:t>
            </w:r>
          </w:p>
        </w:tc>
        <w:tc>
          <w:tcPr>
            <w:tcW w:w="2160" w:type="dxa"/>
            <w:noWrap w:val="0"/>
            <w:vAlign w:val="top"/>
          </w:tcPr>
          <w:p w14:paraId="7CB48D8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本科生额度 5 本，达到上限后拒绝第 6 本</w:t>
            </w:r>
          </w:p>
        </w:tc>
        <w:tc>
          <w:tcPr>
            <w:tcW w:w="2160" w:type="dxa"/>
            <w:noWrap w:val="0"/>
            <w:vAlign w:val="top"/>
          </w:tcPr>
          <w:p w14:paraId="4CD049AE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边界值测试</w:t>
            </w:r>
          </w:p>
        </w:tc>
      </w:tr>
      <w:tr w14:paraId="5BBF1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49264DC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CR-001-AC-03</w:t>
            </w:r>
          </w:p>
        </w:tc>
        <w:tc>
          <w:tcPr>
            <w:tcW w:w="2160" w:type="dxa"/>
            <w:noWrap w:val="0"/>
            <w:vAlign w:val="top"/>
          </w:tcPr>
          <w:p w14:paraId="32D6B0E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REQ-USER-11</w:t>
            </w:r>
          </w:p>
        </w:tc>
        <w:tc>
          <w:tcPr>
            <w:tcW w:w="2160" w:type="dxa"/>
            <w:noWrap w:val="0"/>
            <w:vAlign w:val="top"/>
          </w:tcPr>
          <w:p w14:paraId="3DD14B8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研究生额度 10 本，达到上限后拒绝第 11 本</w:t>
            </w:r>
          </w:p>
        </w:tc>
        <w:tc>
          <w:tcPr>
            <w:tcW w:w="2160" w:type="dxa"/>
            <w:noWrap w:val="0"/>
            <w:vAlign w:val="top"/>
          </w:tcPr>
          <w:p w14:paraId="681A268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边界值测试</w:t>
            </w:r>
          </w:p>
        </w:tc>
      </w:tr>
      <w:tr w14:paraId="0A04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3CFABAE9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CR-001-AC-04</w:t>
            </w:r>
          </w:p>
        </w:tc>
        <w:tc>
          <w:tcPr>
            <w:tcW w:w="2160" w:type="dxa"/>
            <w:noWrap w:val="0"/>
            <w:vAlign w:val="top"/>
          </w:tcPr>
          <w:p w14:paraId="6D8F2C2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REQ-USER-11</w:t>
            </w:r>
          </w:p>
        </w:tc>
        <w:tc>
          <w:tcPr>
            <w:tcW w:w="2160" w:type="dxa"/>
            <w:noWrap w:val="0"/>
            <w:vAlign w:val="top"/>
          </w:tcPr>
          <w:p w14:paraId="3CC5EE4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教师额度 15 本，达到上限后拒绝第 16 本</w:t>
            </w:r>
          </w:p>
        </w:tc>
        <w:tc>
          <w:tcPr>
            <w:tcW w:w="2160" w:type="dxa"/>
            <w:noWrap w:val="0"/>
            <w:vAlign w:val="top"/>
          </w:tcPr>
          <w:p w14:paraId="336FCF2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边界值测试</w:t>
            </w:r>
          </w:p>
        </w:tc>
      </w:tr>
      <w:tr w14:paraId="26A7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6953FEA9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CR-001-AC-05</w:t>
            </w:r>
          </w:p>
        </w:tc>
        <w:tc>
          <w:tcPr>
            <w:tcW w:w="2160" w:type="dxa"/>
            <w:noWrap w:val="0"/>
            <w:vAlign w:val="top"/>
          </w:tcPr>
          <w:p w14:paraId="398BF5A2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REQ-USER-11</w:t>
            </w:r>
          </w:p>
        </w:tc>
        <w:tc>
          <w:tcPr>
            <w:tcW w:w="2160" w:type="dxa"/>
            <w:noWrap w:val="0"/>
            <w:vAlign w:val="top"/>
          </w:tcPr>
          <w:p w14:paraId="24E27689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新增读者未指定类型时默认本科生</w:t>
            </w:r>
          </w:p>
        </w:tc>
        <w:tc>
          <w:tcPr>
            <w:tcW w:w="2160" w:type="dxa"/>
            <w:noWrap w:val="0"/>
            <w:vAlign w:val="top"/>
          </w:tcPr>
          <w:p w14:paraId="4DB1B435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默认值测试</w:t>
            </w:r>
          </w:p>
        </w:tc>
      </w:tr>
      <w:tr w14:paraId="2262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6D84FF63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CR-001-AC-06</w:t>
            </w:r>
          </w:p>
        </w:tc>
        <w:tc>
          <w:tcPr>
            <w:tcW w:w="2160" w:type="dxa"/>
            <w:noWrap w:val="0"/>
            <w:vAlign w:val="top"/>
          </w:tcPr>
          <w:p w14:paraId="4794A688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REQ-BORROW-04</w:t>
            </w:r>
          </w:p>
        </w:tc>
        <w:tc>
          <w:tcPr>
            <w:tcW w:w="2160" w:type="dxa"/>
            <w:noWrap w:val="0"/>
            <w:vAlign w:val="top"/>
          </w:tcPr>
          <w:p w14:paraId="6B3EE462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借书流程按读者类型从规则表读取额度</w:t>
            </w:r>
          </w:p>
        </w:tc>
        <w:tc>
          <w:tcPr>
            <w:tcW w:w="2160" w:type="dxa"/>
            <w:noWrap w:val="0"/>
            <w:vAlign w:val="top"/>
          </w:tcPr>
          <w:p w14:paraId="747194E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规则读取／功能测试</w:t>
            </w:r>
          </w:p>
        </w:tc>
      </w:tr>
      <w:tr w14:paraId="12DC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1474C412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CR-001-AC-07</w:t>
            </w:r>
          </w:p>
        </w:tc>
        <w:tc>
          <w:tcPr>
            <w:tcW w:w="2160" w:type="dxa"/>
            <w:noWrap w:val="0"/>
            <w:vAlign w:val="top"/>
          </w:tcPr>
          <w:p w14:paraId="2463EC8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REQ-BORROW-04</w:t>
            </w:r>
          </w:p>
        </w:tc>
        <w:tc>
          <w:tcPr>
            <w:tcW w:w="2160" w:type="dxa"/>
            <w:noWrap w:val="0"/>
            <w:vAlign w:val="top"/>
          </w:tcPr>
          <w:p w14:paraId="4771095B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超额借阅被拒绝，且不错误扣减可借数量</w:t>
            </w:r>
          </w:p>
        </w:tc>
        <w:tc>
          <w:tcPr>
            <w:tcW w:w="2160" w:type="dxa"/>
            <w:noWrap w:val="0"/>
            <w:vAlign w:val="top"/>
          </w:tcPr>
          <w:p w14:paraId="252EFB6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边界测试／数据核查</w:t>
            </w:r>
          </w:p>
        </w:tc>
      </w:tr>
      <w:tr w14:paraId="2680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30BF3AFE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CR-001-AC-08</w:t>
            </w:r>
          </w:p>
        </w:tc>
        <w:tc>
          <w:tcPr>
            <w:tcW w:w="2160" w:type="dxa"/>
            <w:noWrap w:val="0"/>
            <w:vAlign w:val="top"/>
          </w:tcPr>
          <w:p w14:paraId="67ABF7C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REQ-BORROW-04</w:t>
            </w:r>
          </w:p>
        </w:tc>
        <w:tc>
          <w:tcPr>
            <w:tcW w:w="2160" w:type="dxa"/>
            <w:noWrap w:val="0"/>
            <w:vAlign w:val="top"/>
          </w:tcPr>
          <w:p w14:paraId="0EB4145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借阅记录和可借数量更新保持事务原子性</w:t>
            </w:r>
          </w:p>
        </w:tc>
        <w:tc>
          <w:tcPr>
            <w:tcW w:w="2160" w:type="dxa"/>
            <w:noWrap w:val="0"/>
            <w:vAlign w:val="top"/>
          </w:tcPr>
          <w:p w14:paraId="77D0007C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异常路径／事务测试</w:t>
            </w:r>
          </w:p>
        </w:tc>
      </w:tr>
      <w:tr w14:paraId="65AE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7846853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CR-001-AC-09</w:t>
            </w:r>
          </w:p>
        </w:tc>
        <w:tc>
          <w:tcPr>
            <w:tcW w:w="2160" w:type="dxa"/>
            <w:noWrap w:val="0"/>
            <w:vAlign w:val="top"/>
          </w:tcPr>
          <w:p w14:paraId="6AF6BA7E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REQ-BORROW-04</w:t>
            </w:r>
          </w:p>
        </w:tc>
        <w:tc>
          <w:tcPr>
            <w:tcW w:w="2160" w:type="dxa"/>
            <w:noWrap w:val="0"/>
            <w:vAlign w:val="top"/>
          </w:tcPr>
          <w:p w14:paraId="0155EFD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图书不可借或读者状态不合格时仍按原规则拒绝</w:t>
            </w:r>
          </w:p>
        </w:tc>
        <w:tc>
          <w:tcPr>
            <w:tcW w:w="2160" w:type="dxa"/>
            <w:noWrap w:val="0"/>
            <w:vAlign w:val="top"/>
          </w:tcPr>
          <w:p w14:paraId="378E090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回归测试</w:t>
            </w:r>
          </w:p>
        </w:tc>
      </w:tr>
    </w:tbl>
    <w:p w14:paraId="27F031D3">
      <w:pPr>
        <w:bidi w:val="0"/>
      </w:pPr>
      <w:r>
        <w:t>说明：以上为应验证的验收条件，不代表实际运行证据；</w:t>
      </w:r>
    </w:p>
    <w:p w14:paraId="57B78DFD">
      <w:pPr>
        <w:pStyle w:val="3"/>
        <w:bidi w:val="0"/>
      </w:pPr>
      <w:bookmarkStart w:id="40" w:name="_Toc18525"/>
      <w:bookmarkStart w:id="41" w:name="_Toc8770"/>
      <w:bookmarkStart w:id="42" w:name="_Toc7274"/>
      <w:bookmarkStart w:id="43" w:name="_Toc23313"/>
      <w:r>
        <w:t>6. 文档与配置管理影响</w:t>
      </w:r>
      <w:bookmarkEnd w:id="40"/>
      <w:bookmarkEnd w:id="41"/>
      <w:bookmarkEnd w:id="42"/>
      <w:bookmarkEnd w:id="4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FBB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  <w:shd w:val="clear" w:color="auto" w:fill="BEBEBE" w:themeFill="background1" w:themeFillShade="BF"/>
            <w:noWrap w:val="0"/>
            <w:vAlign w:val="top"/>
          </w:tcPr>
          <w:p w14:paraId="3532877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文档/配置项</w:t>
            </w:r>
          </w:p>
        </w:tc>
        <w:tc>
          <w:tcPr>
            <w:tcW w:w="4320" w:type="dxa"/>
            <w:shd w:val="clear" w:color="auto" w:fill="BEBEBE" w:themeFill="background1" w:themeFillShade="BF"/>
            <w:noWrap w:val="0"/>
            <w:vAlign w:val="top"/>
          </w:tcPr>
          <w:p w14:paraId="73D00EC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影响动作</w:t>
            </w:r>
          </w:p>
        </w:tc>
      </w:tr>
      <w:tr w14:paraId="20B4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738F6E1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需求池</w:t>
            </w:r>
          </w:p>
        </w:tc>
        <w:tc>
          <w:tcPr>
            <w:tcW w:w="4320" w:type="dxa"/>
            <w:noWrap w:val="0"/>
            <w:vAlign w:val="top"/>
          </w:tcPr>
          <w:p w14:paraId="3ECDE82E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新增 REQ-USER-11，修订 REQ-USER-01、REQ-BORROW-04，标记为已基线</w:t>
            </w:r>
          </w:p>
        </w:tc>
      </w:tr>
      <w:tr w14:paraId="5308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2AB55A9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需求规格说明书（SRS）</w:t>
            </w:r>
          </w:p>
        </w:tc>
        <w:tc>
          <w:tcPr>
            <w:tcW w:w="4320" w:type="dxa"/>
            <w:noWrap w:val="0"/>
            <w:vAlign w:val="top"/>
          </w:tcPr>
          <w:p w14:paraId="5F2FB80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更新正文、优先级、来源、验收条件和变更历史</w:t>
            </w:r>
          </w:p>
        </w:tc>
      </w:tr>
      <w:tr w14:paraId="0EF3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236A69A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需求跟踪矩阵</w:t>
            </w:r>
          </w:p>
        </w:tc>
        <w:tc>
          <w:tcPr>
            <w:tcW w:w="4320" w:type="dxa"/>
            <w:noWrap w:val="0"/>
            <w:vAlign w:val="top"/>
          </w:tcPr>
          <w:p w14:paraId="1772B59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关联 CR-001、三个需求 ID、设计项、实现项和测试用例</w:t>
            </w:r>
          </w:p>
        </w:tc>
      </w:tr>
      <w:tr w14:paraId="16D9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33D2C509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测试文档</w:t>
            </w:r>
          </w:p>
        </w:tc>
        <w:tc>
          <w:tcPr>
            <w:tcW w:w="4320" w:type="dxa"/>
            <w:noWrap w:val="0"/>
            <w:vAlign w:val="top"/>
          </w:tcPr>
          <w:p w14:paraId="32051120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补充额度边界、默认类型、额度读取和事务一致性用例</w:t>
            </w:r>
          </w:p>
        </w:tc>
      </w:tr>
      <w:tr w14:paraId="4212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094ABECE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版本管理</w:t>
            </w:r>
          </w:p>
        </w:tc>
        <w:tc>
          <w:tcPr>
            <w:tcW w:w="4320" w:type="dxa"/>
            <w:noWrap w:val="0"/>
            <w:vAlign w:val="top"/>
          </w:tcPr>
          <w:p w14:paraId="5ADF69F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保留 V1.0 历史，记录 V1.1 生效版本及审批、影响分析、验证依据</w:t>
            </w:r>
          </w:p>
        </w:tc>
      </w:tr>
    </w:tbl>
    <w:p w14:paraId="5A84B58C">
      <w:pPr>
        <w:pStyle w:val="3"/>
        <w:bidi w:val="0"/>
      </w:pPr>
      <w:bookmarkStart w:id="44" w:name="_Toc28076"/>
      <w:bookmarkStart w:id="45" w:name="_Toc1110"/>
      <w:bookmarkStart w:id="46" w:name="_Toc18644"/>
      <w:bookmarkStart w:id="47" w:name="_Toc23412"/>
    </w:p>
    <w:p w14:paraId="4B792975">
      <w:pPr>
        <w:pStyle w:val="3"/>
        <w:bidi w:val="0"/>
      </w:pPr>
      <w:r>
        <w:t>7. 风险识别与应对</w:t>
      </w:r>
      <w:bookmarkEnd w:id="44"/>
      <w:bookmarkEnd w:id="45"/>
      <w:bookmarkEnd w:id="46"/>
      <w:bookmarkEnd w:id="4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462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3870057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风险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37AB04B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可能后果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3B2A809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风险等级</w:t>
            </w:r>
          </w:p>
        </w:tc>
        <w:tc>
          <w:tcPr>
            <w:tcW w:w="2160" w:type="dxa"/>
            <w:shd w:val="clear" w:color="auto" w:fill="BEBEBE" w:themeFill="background1" w:themeFillShade="BF"/>
            <w:noWrap w:val="0"/>
            <w:vAlign w:val="top"/>
          </w:tcPr>
          <w:p w14:paraId="6109642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应对措施</w:t>
            </w:r>
          </w:p>
        </w:tc>
      </w:tr>
      <w:tr w14:paraId="7CC1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36F09FA8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读者类型缺失或取值不规范</w:t>
            </w:r>
          </w:p>
        </w:tc>
        <w:tc>
          <w:tcPr>
            <w:tcW w:w="2160" w:type="dxa"/>
            <w:noWrap w:val="0"/>
            <w:vAlign w:val="top"/>
          </w:tcPr>
          <w:p w14:paraId="7746D09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无法匹配正确额度</w:t>
            </w:r>
          </w:p>
        </w:tc>
        <w:tc>
          <w:tcPr>
            <w:tcW w:w="2160" w:type="dxa"/>
            <w:noWrap w:val="0"/>
            <w:vAlign w:val="top"/>
          </w:tcPr>
          <w:p w14:paraId="1E05E08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中—高</w:t>
            </w:r>
          </w:p>
        </w:tc>
        <w:tc>
          <w:tcPr>
            <w:tcW w:w="2160" w:type="dxa"/>
            <w:noWrap w:val="0"/>
            <w:vAlign w:val="top"/>
          </w:tcPr>
          <w:p w14:paraId="5119FC3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定义允许类型、默认值和数据校验，并核查历史数据</w:t>
            </w:r>
          </w:p>
        </w:tc>
      </w:tr>
      <w:tr w14:paraId="005F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545BF4F8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规则配置与需求数值不一致</w:t>
            </w:r>
          </w:p>
        </w:tc>
        <w:tc>
          <w:tcPr>
            <w:tcW w:w="2160" w:type="dxa"/>
            <w:noWrap w:val="0"/>
            <w:vAlign w:val="top"/>
          </w:tcPr>
          <w:p w14:paraId="5D6ECEFC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超额借阅或错误拒绝</w:t>
            </w:r>
          </w:p>
        </w:tc>
        <w:tc>
          <w:tcPr>
            <w:tcW w:w="2160" w:type="dxa"/>
            <w:noWrap w:val="0"/>
            <w:vAlign w:val="top"/>
          </w:tcPr>
          <w:p w14:paraId="4993300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2320AC58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对照 REQ-USER-11 检查配置并执行边界测试</w:t>
            </w:r>
          </w:p>
        </w:tc>
      </w:tr>
      <w:tr w14:paraId="5C79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0A26525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仍使用硬编码统一额度</w:t>
            </w:r>
          </w:p>
        </w:tc>
        <w:tc>
          <w:tcPr>
            <w:tcW w:w="2160" w:type="dxa"/>
            <w:noWrap w:val="0"/>
            <w:vAlign w:val="top"/>
          </w:tcPr>
          <w:p w14:paraId="13E4ADA8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分级规则不生效</w:t>
            </w:r>
          </w:p>
        </w:tc>
        <w:tc>
          <w:tcPr>
            <w:tcW w:w="2160" w:type="dxa"/>
            <w:noWrap w:val="0"/>
            <w:vAlign w:val="top"/>
          </w:tcPr>
          <w:p w14:paraId="3637520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543BDF0B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检查额度取值路径，确认按规则表读取</w:t>
            </w:r>
          </w:p>
        </w:tc>
      </w:tr>
      <w:tr w14:paraId="3825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3A4134C6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并发借阅校验不足</w:t>
            </w:r>
          </w:p>
        </w:tc>
        <w:tc>
          <w:tcPr>
            <w:tcW w:w="2160" w:type="dxa"/>
            <w:noWrap w:val="0"/>
            <w:vAlign w:val="top"/>
          </w:tcPr>
          <w:p w14:paraId="01802997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并发操作可能突破额度</w:t>
            </w:r>
          </w:p>
        </w:tc>
        <w:tc>
          <w:tcPr>
            <w:tcW w:w="2160" w:type="dxa"/>
            <w:noWrap w:val="0"/>
            <w:vAlign w:val="top"/>
          </w:tcPr>
          <w:p w14:paraId="799F85A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高</w:t>
            </w:r>
          </w:p>
        </w:tc>
        <w:tc>
          <w:tcPr>
            <w:tcW w:w="2160" w:type="dxa"/>
            <w:noWrap w:val="0"/>
            <w:vAlign w:val="top"/>
          </w:tcPr>
          <w:p w14:paraId="1F526571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在提交环节做最终校验，并验证事务与并发控制</w:t>
            </w:r>
          </w:p>
        </w:tc>
      </w:tr>
      <w:tr w14:paraId="3EA7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260FD985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审批、验证与基线版本不一致</w:t>
            </w:r>
          </w:p>
        </w:tc>
        <w:tc>
          <w:tcPr>
            <w:tcW w:w="2160" w:type="dxa"/>
            <w:noWrap w:val="0"/>
            <w:vAlign w:val="top"/>
          </w:tcPr>
          <w:p w14:paraId="33D8812C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无法追溯真实变更状态</w:t>
            </w:r>
          </w:p>
        </w:tc>
        <w:tc>
          <w:tcPr>
            <w:tcW w:w="2160" w:type="dxa"/>
            <w:noWrap w:val="0"/>
            <w:vAlign w:val="top"/>
          </w:tcPr>
          <w:p w14:paraId="0D7CC81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中</w:t>
            </w:r>
          </w:p>
        </w:tc>
        <w:tc>
          <w:tcPr>
            <w:tcW w:w="2160" w:type="dxa"/>
            <w:noWrap w:val="0"/>
            <w:vAlign w:val="top"/>
          </w:tcPr>
          <w:p w14:paraId="4AE56D2C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核对 CCB-001、IA-001、VR-001 和 V1.1 基线记录</w:t>
            </w:r>
          </w:p>
        </w:tc>
      </w:tr>
      <w:tr w14:paraId="44CAF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noWrap w:val="0"/>
            <w:vAlign w:val="top"/>
          </w:tcPr>
          <w:p w14:paraId="6AFFA554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数据模型变更范围不确定</w:t>
            </w:r>
          </w:p>
        </w:tc>
        <w:tc>
          <w:tcPr>
            <w:tcW w:w="2160" w:type="dxa"/>
            <w:noWrap w:val="0"/>
            <w:vAlign w:val="top"/>
          </w:tcPr>
          <w:p w14:paraId="4C96EDF2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数据库改造工作量超预期</w:t>
            </w:r>
          </w:p>
        </w:tc>
        <w:tc>
          <w:tcPr>
            <w:tcW w:w="2160" w:type="dxa"/>
            <w:noWrap w:val="0"/>
            <w:vAlign w:val="top"/>
          </w:tcPr>
          <w:p w14:paraId="3D2EFA8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中</w:t>
            </w:r>
          </w:p>
        </w:tc>
        <w:tc>
          <w:tcPr>
            <w:tcW w:w="2160" w:type="dxa"/>
            <w:noWrap w:val="0"/>
            <w:vAlign w:val="top"/>
          </w:tcPr>
          <w:p w14:paraId="3A668F9A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开发尽早对照数据模型确认字段/规则表改动，及时反馈</w:t>
            </w:r>
          </w:p>
        </w:tc>
      </w:tr>
    </w:tbl>
    <w:p w14:paraId="5DF77100">
      <w:pPr>
        <w:pStyle w:val="3"/>
        <w:bidi w:val="0"/>
      </w:pPr>
      <w:bookmarkStart w:id="48" w:name="_Toc17880"/>
      <w:bookmarkStart w:id="49" w:name="_Toc402"/>
      <w:bookmarkStart w:id="50" w:name="_Toc15461"/>
      <w:bookmarkStart w:id="51" w:name="_Toc19416"/>
      <w:r>
        <w:t>8. 进度与资源影响</w:t>
      </w:r>
      <w:bookmarkEnd w:id="48"/>
      <w:bookmarkEnd w:id="49"/>
      <w:bookmarkEnd w:id="50"/>
      <w:bookmarkEnd w:id="5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99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BEBEBE" w:themeFill="background1" w:themeFillShade="BF"/>
            <w:noWrap w:val="0"/>
            <w:vAlign w:val="top"/>
          </w:tcPr>
          <w:p w14:paraId="41B4A4A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影响项</w:t>
            </w:r>
          </w:p>
        </w:tc>
        <w:tc>
          <w:tcPr>
            <w:tcW w:w="4320" w:type="dxa"/>
            <w:shd w:val="clear" w:color="auto" w:fill="BEBEBE" w:themeFill="background1" w:themeFillShade="BF"/>
            <w:noWrap w:val="0"/>
            <w:vAlign w:val="top"/>
          </w:tcPr>
          <w:p w14:paraId="2ED024A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4E7C5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272E85B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开发工作量</w:t>
            </w:r>
          </w:p>
        </w:tc>
        <w:tc>
          <w:tcPr>
            <w:tcW w:w="4320" w:type="dxa"/>
            <w:noWrap w:val="0"/>
            <w:vAlign w:val="top"/>
          </w:tcPr>
          <w:p w14:paraId="63F5D68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取决于当前实现是否已具备读者类型字段与规则表配置；若需新增字段/表/迁移脚本，工作量增加</w:t>
            </w:r>
          </w:p>
        </w:tc>
      </w:tr>
      <w:tr w14:paraId="1C89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2BF9B30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测试工作量</w:t>
            </w:r>
          </w:p>
        </w:tc>
        <w:tc>
          <w:tcPr>
            <w:tcW w:w="4320" w:type="dxa"/>
            <w:noWrap w:val="0"/>
            <w:vAlign w:val="top"/>
          </w:tcPr>
          <w:p w14:paraId="1A64396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至少覆盖 9 条验收条件及并发、回归场景，需准备多类读者账号与借阅前置数据</w:t>
            </w:r>
          </w:p>
        </w:tc>
      </w:tr>
      <w:tr w14:paraId="7E18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1968C0E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文档工作量</w:t>
            </w:r>
          </w:p>
        </w:tc>
        <w:tc>
          <w:tcPr>
            <w:tcW w:w="4320" w:type="dxa"/>
            <w:noWrap w:val="0"/>
            <w:vAlign w:val="top"/>
          </w:tcPr>
          <w:p w14:paraId="3301C18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需求池、SRS、跟踪矩阵、测试文档、基线记录共 5 类文档需更新</w:t>
            </w:r>
          </w:p>
        </w:tc>
      </w:tr>
      <w:tr w14:paraId="4F89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noWrap w:val="0"/>
            <w:vAlign w:val="top"/>
          </w:tcPr>
          <w:p w14:paraId="6604A25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待确认事项</w:t>
            </w:r>
          </w:p>
        </w:tc>
        <w:tc>
          <w:tcPr>
            <w:tcW w:w="4320" w:type="dxa"/>
            <w:noWrap w:val="0"/>
            <w:vAlign w:val="top"/>
          </w:tcPr>
          <w:p w14:paraId="69EF023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数据库与接口改动范围、历史数据迁移方案、已有读者类型补齐策略，需开发评估后给出估算</w:t>
            </w:r>
          </w:p>
        </w:tc>
      </w:tr>
    </w:tbl>
    <w:p w14:paraId="0D50B7A3">
      <w:pPr>
        <w:pStyle w:val="4"/>
        <w:bidi w:val="0"/>
        <w:rPr>
          <w:rStyle w:val="140"/>
          <w:b w:val="0"/>
          <w:bCs w:val="0"/>
        </w:rPr>
      </w:pPr>
      <w:bookmarkStart w:id="52" w:name="_Toc17954"/>
      <w:bookmarkStart w:id="53" w:name="_Toc22834"/>
      <w:bookmarkStart w:id="54" w:name="_Toc20429"/>
      <w:bookmarkStart w:id="55" w:name="_Toc27303"/>
      <w:r>
        <w:t>9. 变更关闭条件（追踪 CR-001 第八章）</w:t>
      </w:r>
      <w:bookmarkEnd w:id="52"/>
      <w:bookmarkEnd w:id="53"/>
      <w:bookmarkEnd w:id="54"/>
      <w:bookmarkEnd w:id="5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BB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60CFF0C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检查项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4A87A3A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关闭标准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1DD2293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证据来源</w:t>
            </w:r>
          </w:p>
        </w:tc>
      </w:tr>
      <w:tr w14:paraId="3165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407658D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审批完成</w:t>
            </w:r>
          </w:p>
        </w:tc>
        <w:tc>
          <w:tcPr>
            <w:tcW w:w="2880" w:type="dxa"/>
            <w:noWrap w:val="0"/>
            <w:vAlign w:val="top"/>
          </w:tcPr>
          <w:p w14:paraId="31F0D5F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CCB-001 有明确批准结论</w:t>
            </w:r>
          </w:p>
        </w:tc>
        <w:tc>
          <w:tcPr>
            <w:tcW w:w="2880" w:type="dxa"/>
            <w:noWrap w:val="0"/>
            <w:vAlign w:val="top"/>
          </w:tcPr>
          <w:p w14:paraId="1DD1383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CCB-001</w:t>
            </w:r>
          </w:p>
        </w:tc>
      </w:tr>
      <w:tr w14:paraId="1692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1D2C59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影响分析完成</w:t>
            </w:r>
          </w:p>
        </w:tc>
        <w:tc>
          <w:tcPr>
            <w:tcW w:w="2880" w:type="dxa"/>
            <w:noWrap w:val="0"/>
            <w:vAlign w:val="top"/>
          </w:tcPr>
          <w:p w14:paraId="7AEE219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已识别需求、流程、数据、实现、测试与风险影响</w:t>
            </w:r>
          </w:p>
        </w:tc>
        <w:tc>
          <w:tcPr>
            <w:tcW w:w="2880" w:type="dxa"/>
            <w:noWrap w:val="0"/>
            <w:vAlign w:val="top"/>
          </w:tcPr>
          <w:p w14:paraId="7D2E920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IA-001</w:t>
            </w:r>
          </w:p>
        </w:tc>
      </w:tr>
      <w:tr w14:paraId="7DDE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19F22A7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需求更新完成</w:t>
            </w:r>
          </w:p>
        </w:tc>
        <w:tc>
          <w:tcPr>
            <w:tcW w:w="2880" w:type="dxa"/>
            <w:noWrap w:val="0"/>
            <w:vAlign w:val="top"/>
          </w:tcPr>
          <w:p w14:paraId="3D9C73B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两条需求修订、一条需求新增并纳入 V1.1</w:t>
            </w:r>
          </w:p>
        </w:tc>
        <w:tc>
          <w:tcPr>
            <w:tcW w:w="2880" w:type="dxa"/>
            <w:noWrap w:val="0"/>
            <w:vAlign w:val="top"/>
          </w:tcPr>
          <w:p w14:paraId="196321A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需求池／SRS</w:t>
            </w:r>
          </w:p>
        </w:tc>
      </w:tr>
      <w:tr w14:paraId="7BF2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7F5DF62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验证完成</w:t>
            </w:r>
          </w:p>
        </w:tc>
        <w:tc>
          <w:tcPr>
            <w:tcW w:w="2880" w:type="dxa"/>
            <w:noWrap w:val="0"/>
            <w:vAlign w:val="top"/>
          </w:tcPr>
          <w:p w14:paraId="49A0984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真实测试结果已记录；未通过项已处理或明确接受风险</w:t>
            </w:r>
          </w:p>
        </w:tc>
        <w:tc>
          <w:tcPr>
            <w:tcW w:w="2880" w:type="dxa"/>
            <w:noWrap w:val="0"/>
            <w:vAlign w:val="top"/>
          </w:tcPr>
          <w:p w14:paraId="39CE663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VR-001</w:t>
            </w:r>
          </w:p>
        </w:tc>
      </w:tr>
      <w:tr w14:paraId="0648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3A93088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追踪与配置完成</w:t>
            </w:r>
          </w:p>
        </w:tc>
        <w:tc>
          <w:tcPr>
            <w:tcW w:w="2880" w:type="dxa"/>
            <w:noWrap w:val="0"/>
            <w:vAlign w:val="top"/>
          </w:tcPr>
          <w:p w14:paraId="4B4EF72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需求、设计、实现、测试和版本记录可互相追踪</w:t>
            </w:r>
          </w:p>
        </w:tc>
        <w:tc>
          <w:tcPr>
            <w:tcW w:w="2880" w:type="dxa"/>
            <w:noWrap w:val="0"/>
            <w:vAlign w:val="top"/>
          </w:tcPr>
          <w:p w14:paraId="7DB286E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需求跟踪矩阵／版本记录</w:t>
            </w:r>
          </w:p>
        </w:tc>
      </w:tr>
    </w:tbl>
    <w:p w14:paraId="7DDDD962">
      <w:pPr>
        <w:pStyle w:val="3"/>
        <w:bidi w:val="0"/>
      </w:pPr>
      <w:bookmarkStart w:id="56" w:name="_Toc13946"/>
      <w:bookmarkStart w:id="57" w:name="_Toc9079"/>
      <w:bookmarkStart w:id="58" w:name="_Toc3995"/>
      <w:bookmarkStart w:id="59" w:name="_Toc1845"/>
      <w:r>
        <w:t>10. 结论与建议</w:t>
      </w:r>
      <w:bookmarkEnd w:id="56"/>
      <w:bookmarkEnd w:id="57"/>
      <w:bookmarkEnd w:id="58"/>
      <w:bookmarkEnd w:id="59"/>
    </w:p>
    <w:p w14:paraId="01327893">
      <w:pPr>
        <w:bidi w:val="0"/>
      </w:pPr>
      <w:r>
        <w:rPr>
          <w:b/>
          <w:bCs/>
        </w:rPr>
        <w:t>变更必要性明确：</w:t>
      </w:r>
      <w:r>
        <w:t>CR-001 解决了 V1.0 中读者类型字段缺失、额度来源不明确、分级额度无独立追踪点、默认类型未定义四类问题（P-01 ~ P-04），变更方向合理，建议批准。</w:t>
      </w:r>
    </w:p>
    <w:p w14:paraId="568EC7C1">
      <w:pPr>
        <w:bidi w:val="0"/>
      </w:pPr>
      <w:r>
        <w:rPr>
          <w:b/>
          <w:bCs/>
        </w:rPr>
        <w:t>高风险项集中在三处：</w:t>
      </w:r>
      <w:r>
        <w:t>额度规则配置与需求数值一致性、并发借阅校验、硬编码额度残留，需在实现和测试中重点验证。</w:t>
      </w:r>
    </w:p>
    <w:p w14:paraId="6D90373D">
      <w:pPr>
        <w:bidi w:val="0"/>
        <w:rPr>
          <w:b/>
          <w:bCs/>
        </w:rPr>
      </w:pPr>
      <w:r>
        <w:rPr>
          <w:b/>
          <w:bCs/>
        </w:rPr>
        <w:t>建议实施顺序：</w:t>
      </w:r>
    </w:p>
    <w:p w14:paraId="4311DC01">
      <w:pPr>
        <w:bidi w:val="0"/>
      </w:pPr>
      <w:r>
        <w:t>先由开发对照数据模型确认读者类型字段、规则表存储及接口改动范围，消除“待核查”项；</w:t>
      </w:r>
    </w:p>
    <w:p w14:paraId="72E37338">
      <w:pPr>
        <w:bidi w:val="0"/>
      </w:pPr>
      <w:r>
        <w:t>再完成需求池/SRS/跟踪矩阵更新；</w:t>
      </w:r>
    </w:p>
    <w:p w14:paraId="0E3FD13C">
      <w:pPr>
        <w:bidi w:val="0"/>
      </w:pPr>
      <w:r>
        <w:t>最后按 CR-001-AC-01 ~ AC-09 及回归、并发场景执行测试，并在 VR-001 中记录真实证据。</w:t>
      </w:r>
    </w:p>
    <w:p w14:paraId="627A9B53">
      <w:pPr>
        <w:bidi w:val="0"/>
      </w:pPr>
      <w:r>
        <w:rPr>
          <w:b/>
          <w:bCs/>
        </w:rPr>
        <w:t>后续维护约束：</w:t>
      </w:r>
      <w:r>
        <w:t>未来若增加读者类型、调整额度数值、修改默认类型或改变规则配置方式，应重新评估影响并按流程提交新变更请求，不得直接覆盖 CR-001 历史记录。</w:t>
      </w:r>
    </w:p>
    <w:p w14:paraId="6E4A4A98">
      <w:pPr>
        <w:bidi w:val="0"/>
        <w:ind w:left="0" w:leftChars="0" w:firstLine="0" w:firstLineChars="0"/>
      </w:pPr>
      <w:bookmarkStart w:id="60" w:name="_Toc29961"/>
      <w:bookmarkStart w:id="61" w:name="_Toc31508"/>
      <w:bookmarkStart w:id="62" w:name="_Toc18917"/>
    </w:p>
    <w:p w14:paraId="086C2081">
      <w:pPr>
        <w:pStyle w:val="3"/>
        <w:bidi w:val="0"/>
      </w:pPr>
      <w:bookmarkStart w:id="63" w:name="_Toc18875"/>
      <w:r>
        <w:t>附录 A：关联文档索引</w:t>
      </w:r>
      <w:bookmarkEnd w:id="60"/>
      <w:bookmarkEnd w:id="61"/>
      <w:bookmarkEnd w:id="62"/>
      <w:bookmarkEnd w:id="6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97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1EAE862F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编号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2F07AF1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文档</w:t>
            </w:r>
          </w:p>
        </w:tc>
        <w:tc>
          <w:tcPr>
            <w:tcW w:w="2880" w:type="dxa"/>
            <w:shd w:val="clear" w:color="auto" w:fill="BEBEBE" w:themeFill="background1" w:themeFillShade="BF"/>
            <w:noWrap w:val="0"/>
            <w:vAlign w:val="top"/>
          </w:tcPr>
          <w:p w14:paraId="51A1D65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作用</w:t>
            </w:r>
          </w:p>
        </w:tc>
      </w:tr>
      <w:tr w14:paraId="1ABA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1FB8AB5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CR-001</w:t>
            </w:r>
          </w:p>
        </w:tc>
        <w:tc>
          <w:tcPr>
            <w:tcW w:w="2880" w:type="dxa"/>
            <w:noWrap w:val="0"/>
            <w:vAlign w:val="top"/>
          </w:tcPr>
          <w:p w14:paraId="06F4E06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需求变更请求单</w:t>
            </w:r>
          </w:p>
        </w:tc>
        <w:tc>
          <w:tcPr>
            <w:tcW w:w="2880" w:type="dxa"/>
            <w:noWrap w:val="0"/>
            <w:vAlign w:val="top"/>
          </w:tcPr>
          <w:p w14:paraId="29F04B3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描述变更原因、内容、优先级及关联需求</w:t>
            </w:r>
          </w:p>
        </w:tc>
      </w:tr>
      <w:tr w14:paraId="673E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10003FA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IA-001</w:t>
            </w:r>
          </w:p>
        </w:tc>
        <w:tc>
          <w:tcPr>
            <w:tcW w:w="2880" w:type="dxa"/>
            <w:noWrap w:val="0"/>
            <w:vAlign w:val="top"/>
          </w:tcPr>
          <w:p w14:paraId="58A5458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影响分析报告</w:t>
            </w:r>
          </w:p>
        </w:tc>
        <w:tc>
          <w:tcPr>
            <w:tcW w:w="2880" w:type="dxa"/>
            <w:noWrap w:val="0"/>
            <w:vAlign w:val="top"/>
          </w:tcPr>
          <w:p w14:paraId="0568D77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评估需求、流程、设计、数据、测试、进度和风险影响（本文档）</w:t>
            </w:r>
          </w:p>
        </w:tc>
      </w:tr>
      <w:tr w14:paraId="6077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4F6246C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CCB-001</w:t>
            </w:r>
          </w:p>
        </w:tc>
        <w:tc>
          <w:tcPr>
            <w:tcW w:w="2880" w:type="dxa"/>
            <w:noWrap w:val="0"/>
            <w:vAlign w:val="top"/>
          </w:tcPr>
          <w:p w14:paraId="6E77437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CCB 审批记录</w:t>
            </w:r>
          </w:p>
        </w:tc>
        <w:tc>
          <w:tcPr>
            <w:tcW w:w="2880" w:type="dxa"/>
            <w:noWrap w:val="0"/>
            <w:vAlign w:val="top"/>
          </w:tcPr>
          <w:p w14:paraId="41524C7F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记录评审意见、审批结论、审批人、日期及附加条件</w:t>
            </w:r>
          </w:p>
        </w:tc>
      </w:tr>
      <w:tr w14:paraId="0A9E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noWrap w:val="0"/>
            <w:vAlign w:val="top"/>
          </w:tcPr>
          <w:p w14:paraId="35FBC20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VR-001</w:t>
            </w:r>
          </w:p>
        </w:tc>
        <w:tc>
          <w:tcPr>
            <w:tcW w:w="2880" w:type="dxa"/>
            <w:noWrap w:val="0"/>
            <w:vAlign w:val="top"/>
          </w:tcPr>
          <w:p w14:paraId="3153F3A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4"/>
              </w:rPr>
              <w:t>验证记录</w:t>
            </w:r>
          </w:p>
        </w:tc>
        <w:tc>
          <w:tcPr>
            <w:tcW w:w="2880" w:type="dxa"/>
            <w:noWrap w:val="0"/>
            <w:vAlign w:val="top"/>
          </w:tcPr>
          <w:p w14:paraId="611A6D6D">
            <w:pPr>
              <w:spacing w:after="0" w:line="240" w:lineRule="auto"/>
              <w:ind w:left="0" w:leftChars="0" w:firstLine="0" w:firstLineChars="0"/>
            </w:pPr>
            <w:r>
              <w:rPr>
                <w:rFonts w:ascii="Times New Roman" w:hAnsi="Times New Roman" w:eastAsia="宋体"/>
                <w:sz w:val="24"/>
              </w:rPr>
              <w:t>记录验收用例的实际执行结果、缺陷及验证结论</w:t>
            </w:r>
          </w:p>
        </w:tc>
      </w:tr>
    </w:tbl>
    <w:p w14:paraId="6FB1A803"/>
    <w:sectPr>
      <w:footerReference r:id="rId6" w:type="default"/>
      <w:pgSz w:w="12240" w:h="15840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9A48B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BB4B6">
    <w:pPr>
      <w:pStyle w:val="24"/>
    </w:pPr>
  </w:p>
  <w:p w14:paraId="15ADBE01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E4237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E4237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  <w:ind w:firstLine="480"/>
      </w:pPr>
      <w:r>
        <w:separator/>
      </w:r>
    </w:p>
  </w:footnote>
  <w:footnote w:type="continuationSeparator" w:id="1">
    <w:p>
      <w:pPr>
        <w:spacing w:before="0" w:after="0" w:line="276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A4B"/>
    <w:rsid w:val="00472B2C"/>
    <w:rsid w:val="006868AE"/>
    <w:rsid w:val="00AA1D8D"/>
    <w:rsid w:val="00B47730"/>
    <w:rsid w:val="00CB0664"/>
    <w:rsid w:val="00F27CD6"/>
    <w:rsid w:val="00FC693F"/>
    <w:rsid w:val="01B4086F"/>
    <w:rsid w:val="029C18BB"/>
    <w:rsid w:val="05F94DCD"/>
    <w:rsid w:val="12820DC5"/>
    <w:rsid w:val="1B9D0623"/>
    <w:rsid w:val="23242E70"/>
    <w:rsid w:val="49835AA4"/>
    <w:rsid w:val="51F047EB"/>
    <w:rsid w:val="581C0EC9"/>
    <w:rsid w:val="5A0E58C7"/>
    <w:rsid w:val="6F9929D7"/>
    <w:rsid w:val="734D7DA9"/>
    <w:rsid w:val="78136A81"/>
    <w:rsid w:val="78656712"/>
    <w:rsid w:val="78FF3E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firstLine="883" w:firstLineChars="200"/>
    </w:pPr>
    <w:rPr>
      <w:rFonts w:ascii="Cambria" w:hAnsi="Cambria" w:eastAsia="宋体" w:cs="Times New Roman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ind w:firstLine="0" w:firstLineChars="0"/>
      <w:outlineLvl w:val="0"/>
    </w:pPr>
    <w:rPr>
      <w:rFonts w:ascii="Calibri" w:hAnsi="Calibri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ascii="Calibri" w:hAnsi="Calibri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ind w:firstLine="0" w:firstLineChars="0"/>
      <w:outlineLvl w:val="2"/>
    </w:pPr>
    <w:rPr>
      <w:rFonts w:ascii="Calibri" w:hAnsi="Calibri"/>
      <w:b/>
      <w:bCs/>
      <w:color w:val="auto"/>
    </w:rPr>
  </w:style>
  <w:style w:type="paragraph" w:styleId="6">
    <w:name w:val="heading 4"/>
    <w:basedOn w:val="1"/>
    <w:next w:val="1"/>
    <w:link w:val="143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44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0"/>
    </w:rPr>
  </w:style>
  <w:style w:type="paragraph" w:styleId="8">
    <w:name w:val="heading 6"/>
    <w:basedOn w:val="1"/>
    <w:next w:val="1"/>
    <w:link w:val="145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0"/>
    </w:rPr>
  </w:style>
  <w:style w:type="paragraph" w:styleId="9">
    <w:name w:val="heading 7"/>
    <w:basedOn w:val="1"/>
    <w:next w:val="1"/>
    <w:link w:val="146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404040"/>
    </w:rPr>
  </w:style>
  <w:style w:type="paragraph" w:styleId="10">
    <w:name w:val="heading 8"/>
    <w:basedOn w:val="1"/>
    <w:next w:val="1"/>
    <w:link w:val="147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48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404040"/>
      <w:sz w:val="20"/>
      <w:szCs w:val="20"/>
    </w:rPr>
  </w:style>
  <w:style w:type="character" w:default="1" w:styleId="135">
    <w:name w:val="Default Paragraph Font"/>
    <w:unhideWhenUsed/>
    <w:qFormat/>
    <w:uiPriority w:val="1"/>
  </w:style>
  <w:style w:type="table" w:default="1" w:styleId="3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0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5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unhideWhenUsed/>
    <w:uiPriority w:val="39"/>
  </w:style>
  <w:style w:type="paragraph" w:styleId="27">
    <w:name w:val="Subtitle"/>
    <w:basedOn w:val="1"/>
    <w:next w:val="1"/>
    <w:link w:val="153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unhideWhenUsed/>
    <w:uiPriority w:val="39"/>
    <w:pPr>
      <w:ind w:left="420" w:leftChars="200"/>
    </w:pPr>
  </w:style>
  <w:style w:type="paragraph" w:styleId="30">
    <w:name w:val="Body Text 2"/>
    <w:basedOn w:val="1"/>
    <w:link w:val="154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5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8" w:space="0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single" w:color="FFFFFF" w:sz="12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6">
    <w:name w:val="Strong"/>
    <w:qFormat/>
    <w:uiPriority w:val="22"/>
    <w:rPr>
      <w:b/>
      <w:bCs/>
    </w:rPr>
  </w:style>
  <w:style w:type="character" w:styleId="137">
    <w:name w:val="Emphasis"/>
    <w:qFormat/>
    <w:uiPriority w:val="20"/>
    <w:rPr>
      <w:i/>
      <w:iCs/>
    </w:rPr>
  </w:style>
  <w:style w:type="character" w:styleId="138">
    <w:name w:val="HTML Code"/>
    <w:basedOn w:val="135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宏文本 字符"/>
    <w:link w:val="2"/>
    <w:uiPriority w:val="99"/>
    <w:rPr>
      <w:rFonts w:ascii="Courier" w:hAnsi="Courier"/>
      <w:sz w:val="20"/>
      <w:szCs w:val="20"/>
    </w:rPr>
  </w:style>
  <w:style w:type="character" w:customStyle="1" w:styleId="140">
    <w:name w:val="标题 1 字符"/>
    <w:link w:val="3"/>
    <w:uiPriority w:val="9"/>
    <w:rPr>
      <w:rFonts w:ascii="Calibri" w:hAnsi="Calibri" w:eastAsia="黑体" w:cs="Times New Roman"/>
      <w:b/>
      <w:bCs/>
      <w:color w:val="000000"/>
      <w:sz w:val="32"/>
      <w:szCs w:val="28"/>
    </w:rPr>
  </w:style>
  <w:style w:type="character" w:customStyle="1" w:styleId="141">
    <w:name w:val="标题 2 字符"/>
    <w:link w:val="4"/>
    <w:uiPriority w:val="9"/>
    <w:rPr>
      <w:rFonts w:ascii="Calibri" w:hAnsi="Calibri" w:eastAsia="黑体" w:cs="Times New Roman"/>
      <w:b/>
      <w:bCs/>
      <w:color w:val="000000"/>
      <w:sz w:val="28"/>
      <w:szCs w:val="26"/>
    </w:rPr>
  </w:style>
  <w:style w:type="character" w:customStyle="1" w:styleId="142">
    <w:name w:val="标题 3 字符"/>
    <w:link w:val="5"/>
    <w:qFormat/>
    <w:uiPriority w:val="9"/>
    <w:rPr>
      <w:rFonts w:ascii="Calibri" w:hAnsi="Calibri" w:eastAsia="宋体" w:cs="Times New Roman"/>
      <w:b/>
      <w:bCs/>
      <w:color w:val="auto"/>
      <w:sz w:val="24"/>
    </w:rPr>
  </w:style>
  <w:style w:type="character" w:customStyle="1" w:styleId="143">
    <w:name w:val="标题 4 字符"/>
    <w:link w:val="6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44">
    <w:name w:val="标题 5 字符"/>
    <w:link w:val="7"/>
    <w:semiHidden/>
    <w:uiPriority w:val="9"/>
    <w:rPr>
      <w:rFonts w:ascii="Calibri" w:hAnsi="Calibri" w:eastAsia="MS Gothic" w:cs="Times New Roman"/>
      <w:color w:val="243F60"/>
    </w:rPr>
  </w:style>
  <w:style w:type="character" w:customStyle="1" w:styleId="145">
    <w:name w:val="标题 6 字符"/>
    <w:link w:val="8"/>
    <w:semiHidden/>
    <w:uiPriority w:val="9"/>
    <w:rPr>
      <w:rFonts w:ascii="Calibri" w:hAnsi="Calibri" w:eastAsia="MS Gothic" w:cs="Times New Roman"/>
      <w:i/>
      <w:iCs/>
      <w:color w:val="243F60"/>
    </w:rPr>
  </w:style>
  <w:style w:type="character" w:customStyle="1" w:styleId="146">
    <w:name w:val="标题 7 字符"/>
    <w:link w:val="9"/>
    <w:semiHidden/>
    <w:uiPriority w:val="9"/>
    <w:rPr>
      <w:rFonts w:ascii="Calibri" w:hAnsi="Calibri" w:eastAsia="MS Gothic" w:cs="Times New Roman"/>
      <w:i/>
      <w:iCs/>
      <w:color w:val="404040"/>
    </w:rPr>
  </w:style>
  <w:style w:type="character" w:customStyle="1" w:styleId="147">
    <w:name w:val="标题 8 字符"/>
    <w:link w:val="10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8">
    <w:name w:val="标题 9 字符"/>
    <w:link w:val="11"/>
    <w:semiHidden/>
    <w:qFormat/>
    <w:uiPriority w:val="9"/>
    <w:rPr>
      <w:rFonts w:ascii="Calibri" w:hAnsi="Calibri" w:eastAsia="MS Gothic" w:cs="Times New Roman"/>
      <w:i/>
      <w:iCs/>
      <w:color w:val="404040"/>
      <w:sz w:val="20"/>
      <w:szCs w:val="20"/>
    </w:rPr>
  </w:style>
  <w:style w:type="character" w:customStyle="1" w:styleId="149">
    <w:name w:val="正文文本 3 字符"/>
    <w:link w:val="17"/>
    <w:uiPriority w:val="99"/>
    <w:rPr>
      <w:sz w:val="16"/>
      <w:szCs w:val="16"/>
    </w:rPr>
  </w:style>
  <w:style w:type="character" w:customStyle="1" w:styleId="150">
    <w:name w:val="正文文本 字符"/>
    <w:basedOn w:val="135"/>
    <w:link w:val="19"/>
    <w:uiPriority w:val="99"/>
  </w:style>
  <w:style w:type="character" w:customStyle="1" w:styleId="151">
    <w:name w:val="页脚 字符"/>
    <w:basedOn w:val="135"/>
    <w:link w:val="24"/>
    <w:uiPriority w:val="99"/>
  </w:style>
  <w:style w:type="character" w:customStyle="1" w:styleId="152">
    <w:name w:val="页眉 字符"/>
    <w:basedOn w:val="135"/>
    <w:link w:val="25"/>
    <w:qFormat/>
    <w:uiPriority w:val="99"/>
  </w:style>
  <w:style w:type="character" w:customStyle="1" w:styleId="153">
    <w:name w:val="副标题 字符"/>
    <w:link w:val="27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4">
    <w:name w:val="正文文本 2 字符"/>
    <w:basedOn w:val="135"/>
    <w:link w:val="30"/>
    <w:qFormat/>
    <w:uiPriority w:val="99"/>
  </w:style>
  <w:style w:type="character" w:customStyle="1" w:styleId="155">
    <w:name w:val="标题 字符"/>
    <w:link w:val="34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6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157">
    <w:name w:val="List Paragraph"/>
    <w:basedOn w:val="1"/>
    <w:qFormat/>
    <w:uiPriority w:val="34"/>
    <w:pPr>
      <w:ind w:left="720"/>
      <w:contextualSpacing/>
    </w:pPr>
  </w:style>
  <w:style w:type="paragraph" w:styleId="158">
    <w:name w:val="Quote"/>
    <w:basedOn w:val="1"/>
    <w:next w:val="1"/>
    <w:link w:val="159"/>
    <w:qFormat/>
    <w:uiPriority w:val="29"/>
    <w:rPr>
      <w:i/>
      <w:iCs/>
      <w:color w:val="000000"/>
    </w:rPr>
  </w:style>
  <w:style w:type="character" w:customStyle="1" w:styleId="159">
    <w:name w:val="引用 字符"/>
    <w:link w:val="158"/>
    <w:qFormat/>
    <w:uiPriority w:val="29"/>
    <w:rPr>
      <w:i/>
      <w:iCs/>
      <w:color w:val="000000"/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61">
    <w:name w:val="明显引用 字符"/>
    <w:link w:val="160"/>
    <w:uiPriority w:val="30"/>
    <w:rPr>
      <w:b/>
      <w:bCs/>
      <w:i/>
      <w:iCs/>
      <w:color w:val="4F81BD"/>
    </w:rPr>
  </w:style>
  <w:style w:type="character" w:customStyle="1" w:styleId="162">
    <w:name w:val="_Style 159"/>
    <w:qFormat/>
    <w:uiPriority w:val="19"/>
    <w:rPr>
      <w:i/>
      <w:iCs/>
      <w:color w:val="808080"/>
    </w:rPr>
  </w:style>
  <w:style w:type="character" w:customStyle="1" w:styleId="163">
    <w:name w:val="_Style 160"/>
    <w:qFormat/>
    <w:uiPriority w:val="21"/>
    <w:rPr>
      <w:b/>
      <w:bCs/>
      <w:i/>
      <w:iCs/>
      <w:color w:val="4F81BD"/>
    </w:rPr>
  </w:style>
  <w:style w:type="character" w:customStyle="1" w:styleId="164">
    <w:name w:val="_Style 161"/>
    <w:qFormat/>
    <w:uiPriority w:val="31"/>
    <w:rPr>
      <w:smallCaps/>
      <w:color w:val="C0504D"/>
      <w:u w:val="single"/>
    </w:rPr>
  </w:style>
  <w:style w:type="character" w:customStyle="1" w:styleId="165">
    <w:name w:val="_Style 16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6">
    <w:name w:val="_Style 163"/>
    <w:qFormat/>
    <w:uiPriority w:val="33"/>
    <w:rPr>
      <w:b/>
      <w:bCs/>
      <w:smallCaps/>
      <w:spacing w:val="5"/>
    </w:rPr>
  </w:style>
  <w:style w:type="paragraph" w:customStyle="1" w:styleId="167">
    <w:name w:val="_Style 164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1253</Words>
  <Characters>1561</Characters>
  <Lines>31</Lines>
  <Paragraphs>8</Paragraphs>
  <TotalTime>9</TotalTime>
  <ScaleCrop>false</ScaleCrop>
  <LinksUpToDate>false</LinksUpToDate>
  <CharactersWithSpaces>1660</CharactersWithSpaces>
  <Application>WPS Office_12.1.0.28505_F1E327BC-269C-435d-A152-05C5408002CA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2026-10-23T08:37:00Z</dcterms:created>
  <dc:creator>python-docx</dc:creator>
  <dc:description>generated by python-docx</dc:description>
  <cp:lastModifiedBy>橙子</cp:lastModifiedBy>
  <dcterms:modified xsi:type="dcterms:W3CDTF">2026-10-29T15:50:27Z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eyJoZGlkIjoiMDllMjdhOWMxZDdmMGExNzM3YmE1MjZhN2VmNGFlOWYiLCJ1c2VySWQiOiI4MTIzOTM3NDgifQ==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0A6CD0D31E5B45B7BC1FCD19114A74C5_13</vt:lpwstr>
  </property>
</Properties>
</file>