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5DA08"/>
    <w:p w14:paraId="1D3E9F70"/>
    <w:p w14:paraId="7A2C8623"/>
    <w:p w14:paraId="1C946EF3"/>
    <w:p w14:paraId="29791A0B">
      <w:pPr>
        <w:jc w:val="center"/>
      </w:pPr>
      <w:r>
        <w:rPr>
          <w:rFonts w:ascii="Times New Roman" w:hAnsi="Times New Roman" w:eastAsia="黑体"/>
          <w:b/>
          <w:sz w:val="40"/>
        </w:rPr>
        <w:t>图书借阅和归还登记系统</w:t>
      </w:r>
    </w:p>
    <w:p w14:paraId="28D40E00">
      <w:pPr>
        <w:jc w:val="center"/>
      </w:pPr>
      <w:r>
        <w:rPr>
          <w:rFonts w:ascii="Times New Roman" w:hAnsi="Times New Roman" w:eastAsia="黑体"/>
          <w:b/>
          <w:sz w:val="48"/>
        </w:rPr>
        <w:t>软件需求变更文档</w:t>
      </w:r>
    </w:p>
    <w:p w14:paraId="3D18DF64">
      <w:pPr>
        <w:jc w:val="center"/>
      </w:pPr>
      <w:r>
        <w:rPr>
          <w:rFonts w:ascii="Times New Roman" w:hAnsi="Times New Roman" w:eastAsia="黑体"/>
          <w:b/>
          <w:sz w:val="28"/>
        </w:rPr>
        <w:t>CR-001：分级借阅额度需求新增与关联需求修订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A84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9EAF7"/>
          </w:tcPr>
          <w:p w14:paraId="5F28399F"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文档属性</w:t>
            </w:r>
          </w:p>
        </w:tc>
        <w:tc>
          <w:tcPr>
            <w:tcW w:w="6236" w:type="dxa"/>
            <w:shd w:val="clear" w:color="auto" w:fill="D9EAF7"/>
          </w:tcPr>
          <w:p w14:paraId="03846D95"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 w14:paraId="35E3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049F40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变更编号</w:t>
            </w:r>
          </w:p>
        </w:tc>
        <w:tc>
          <w:tcPr>
            <w:tcW w:w="6236" w:type="dxa"/>
          </w:tcPr>
          <w:p w14:paraId="6B021F4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CR-001</w:t>
            </w:r>
          </w:p>
        </w:tc>
      </w:tr>
      <w:tr w14:paraId="16A7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658E40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项目名称</w:t>
            </w:r>
          </w:p>
        </w:tc>
        <w:tc>
          <w:tcPr>
            <w:tcW w:w="6236" w:type="dxa"/>
          </w:tcPr>
          <w:p w14:paraId="640FA57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图书借阅和归还登记系统</w:t>
            </w:r>
          </w:p>
        </w:tc>
      </w:tr>
      <w:tr w14:paraId="6A35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251DF0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变更前／后基线</w:t>
            </w:r>
          </w:p>
        </w:tc>
        <w:tc>
          <w:tcPr>
            <w:tcW w:w="6236" w:type="dxa"/>
          </w:tcPr>
          <w:p w14:paraId="2207348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V1.0 → V1.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</w:t>
            </w:r>
          </w:p>
        </w:tc>
      </w:tr>
      <w:tr w14:paraId="6EE9E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F306E4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变更状态</w:t>
            </w:r>
          </w:p>
        </w:tc>
        <w:tc>
          <w:tcPr>
            <w:tcW w:w="6236" w:type="dxa"/>
          </w:tcPr>
          <w:p w14:paraId="4964AEC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已确定；按现有记录为已批准并纳入 V1.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b w:val="0"/>
                <w:sz w:val="20"/>
              </w:rPr>
              <w:t>基线</w:t>
            </w:r>
          </w:p>
        </w:tc>
      </w:tr>
      <w:tr w14:paraId="79F1A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67DC22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关联记录</w:t>
            </w:r>
          </w:p>
        </w:tc>
        <w:tc>
          <w:tcPr>
            <w:tcW w:w="6236" w:type="dxa"/>
          </w:tcPr>
          <w:p w14:paraId="5E9C06B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CCB-001 审批记录；IA-001 影响分析报告；VR-001 验证记录</w:t>
            </w:r>
          </w:p>
        </w:tc>
      </w:tr>
      <w:tr w14:paraId="6C0B4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3E5867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编制人／复核人</w:t>
            </w:r>
          </w:p>
        </w:tc>
        <w:tc>
          <w:tcPr>
            <w:tcW w:w="6236" w:type="dxa"/>
          </w:tcPr>
          <w:p w14:paraId="03BFADA3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蒋福静</w:t>
            </w:r>
          </w:p>
        </w:tc>
      </w:tr>
      <w:tr w14:paraId="01FD4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354F67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日期</w:t>
            </w:r>
          </w:p>
        </w:tc>
        <w:tc>
          <w:tcPr>
            <w:tcW w:w="6236" w:type="dxa"/>
          </w:tcPr>
          <w:p w14:paraId="7E0C1984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0"/>
                <w:lang w:val="en-US" w:eastAsia="zh-CN"/>
              </w:rPr>
              <w:t>2026-10-19</w:t>
            </w:r>
          </w:p>
        </w:tc>
      </w:tr>
      <w:tr w14:paraId="405C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84446A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文档版本</w:t>
            </w:r>
          </w:p>
        </w:tc>
        <w:tc>
          <w:tcPr>
            <w:tcW w:w="6236" w:type="dxa"/>
          </w:tcPr>
          <w:p w14:paraId="6A820172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V1.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</w:t>
            </w:r>
          </w:p>
        </w:tc>
      </w:tr>
    </w:tbl>
    <w:p w14:paraId="20867596"/>
    <w:p w14:paraId="5F587190"/>
    <w:p w14:paraId="0FD90283"/>
    <w:p w14:paraId="146DB6E2"/>
    <w:p w14:paraId="3B3A0ABC"/>
    <w:p w14:paraId="5AEB0E16"/>
    <w:p w14:paraId="78DAA9B2"/>
    <w:p w14:paraId="5F6747EA"/>
    <w:p w14:paraId="372E8211"/>
    <w:p w14:paraId="6E303DE7"/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0802"/>
        <w15:color w:val="DBDBDB"/>
        <w:docPartObj>
          <w:docPartGallery w:val="Table of Contents"/>
          <w:docPartUnique/>
        </w:docPartObj>
      </w:sdtPr>
      <w:sdtContent>
        <w:p w14:paraId="2BE01FF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12C50C7">
          <w:pPr>
            <w:pStyle w:val="26"/>
            <w:tabs>
              <w:tab w:val="right" w:leader="dot" w:pos="9518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_Toc1632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</w:rPr>
            <w:t>第一章 变更总览</w:t>
          </w:r>
          <w:r>
            <w:tab/>
          </w:r>
          <w:r>
            <w:fldChar w:fldCharType="begin"/>
          </w:r>
          <w:r>
            <w:instrText xml:space="preserve"> PAGEREF _Toc1632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41E4A1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_Toc12064 </w:instrText>
          </w:r>
          <w:r>
            <w:fldChar w:fldCharType="separate"/>
          </w:r>
          <w:r>
            <w:t>1.1 变更摘要</w:t>
          </w:r>
          <w:r>
            <w:tab/>
          </w:r>
          <w:r>
            <w:fldChar w:fldCharType="begin"/>
          </w:r>
          <w:r>
            <w:instrText xml:space="preserve"> PAGEREF _Toc12064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2040B6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_Toc31140 </w:instrText>
          </w:r>
          <w:r>
            <w:fldChar w:fldCharType="separate"/>
          </w:r>
          <w:r>
            <w:t>1.2 变更基本信息</w:t>
          </w:r>
          <w:r>
            <w:tab/>
          </w:r>
          <w:r>
            <w:fldChar w:fldCharType="begin"/>
          </w:r>
          <w:r>
            <w:instrText xml:space="preserve"> PAGEREF _Toc31140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A09E9D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_Toc31489 </w:instrText>
          </w:r>
          <w:r>
            <w:fldChar w:fldCharType="separate"/>
          </w:r>
          <w:r>
            <w:t>1.3 变更控制原则</w:t>
          </w:r>
          <w:r>
            <w:tab/>
          </w:r>
          <w:r>
            <w:fldChar w:fldCharType="begin"/>
          </w:r>
          <w:r>
            <w:instrText xml:space="preserve"> PAGEREF _Toc31489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AFA147">
          <w:pPr>
            <w:pStyle w:val="26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_Toc1691 </w:instrText>
          </w:r>
          <w:r>
            <w:fldChar w:fldCharType="separate"/>
          </w:r>
          <w:r>
            <w:t>第二章 变更背景、问题与目标</w:t>
          </w:r>
          <w:r>
            <w:tab/>
          </w:r>
          <w:r>
            <w:fldChar w:fldCharType="begin"/>
          </w:r>
          <w:r>
            <w:instrText xml:space="preserve"> PAGEREF _Toc1691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A58C84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_Toc23911 </w:instrText>
          </w:r>
          <w:r>
            <w:fldChar w:fldCharType="separate"/>
          </w:r>
          <w:r>
            <w:t>2.1 变更背景</w:t>
          </w:r>
          <w:r>
            <w:tab/>
          </w:r>
          <w:r>
            <w:fldChar w:fldCharType="begin"/>
          </w:r>
          <w:r>
            <w:instrText xml:space="preserve"> PAGEREF _Toc23911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5F4442A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_Toc12842 </w:instrText>
          </w:r>
          <w:r>
            <w:fldChar w:fldCharType="separate"/>
          </w:r>
          <w:r>
            <w:t>2.2 变更前存在的问题</w:t>
          </w:r>
          <w:r>
            <w:tab/>
          </w:r>
          <w:r>
            <w:fldChar w:fldCharType="begin"/>
          </w:r>
          <w:r>
            <w:instrText xml:space="preserve"> PAGEREF _Toc12842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BF8122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_Toc5791 </w:instrText>
          </w:r>
          <w:r>
            <w:fldChar w:fldCharType="separate"/>
          </w:r>
          <w:r>
            <w:t>2.3 变更目标</w:t>
          </w:r>
          <w:r>
            <w:tab/>
          </w:r>
          <w:r>
            <w:fldChar w:fldCharType="begin"/>
          </w:r>
          <w:r>
            <w:instrText xml:space="preserve"> PAGEREF _Toc5791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65CCEC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_Toc13939 </w:instrText>
          </w:r>
          <w:r>
            <w:fldChar w:fldCharType="separate"/>
          </w:r>
          <w:r>
            <w:t>2.4 预期收益</w:t>
          </w:r>
          <w:r>
            <w:tab/>
          </w:r>
          <w:r>
            <w:fldChar w:fldCharType="begin"/>
          </w:r>
          <w:r>
            <w:instrText xml:space="preserve"> PAGEREF _Toc13939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81F490">
          <w:pPr>
            <w:pStyle w:val="26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_Toc20236 </w:instrText>
          </w:r>
          <w:r>
            <w:fldChar w:fldCharType="separate"/>
          </w:r>
          <w:r>
            <w:t>第三章 变更前后需求对比</w:t>
          </w:r>
          <w:r>
            <w:tab/>
          </w:r>
          <w:r>
            <w:fldChar w:fldCharType="begin"/>
          </w:r>
          <w:r>
            <w:instrText xml:space="preserve"> PAGEREF _Toc20236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918069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_Toc15863 </w:instrText>
          </w:r>
          <w:r>
            <w:fldChar w:fldCharType="separate"/>
          </w:r>
          <w:r>
            <w:t>3.1 V1.0 与 V1.</w:t>
          </w:r>
          <w:r>
            <w:rPr>
              <w:rFonts w:hint="eastAsia" w:eastAsia="宋体"/>
              <w:lang w:val="en-US" w:eastAsia="zh-CN"/>
            </w:rPr>
            <w:t>1</w:t>
          </w:r>
          <w:r>
            <w:t xml:space="preserve"> 对照</w:t>
          </w:r>
          <w:r>
            <w:tab/>
          </w:r>
          <w:r>
            <w:fldChar w:fldCharType="begin"/>
          </w:r>
          <w:r>
            <w:instrText xml:space="preserve"> PAGEREF _Toc15863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6ECCF1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_Toc9284 </w:instrText>
          </w:r>
          <w:r>
            <w:fldChar w:fldCharType="separate"/>
          </w:r>
          <w:r>
            <w:t>3.2 变更涉及与不涉及的内容</w:t>
          </w:r>
          <w:r>
            <w:tab/>
          </w:r>
          <w:r>
            <w:fldChar w:fldCharType="begin"/>
          </w:r>
          <w:r>
            <w:instrText xml:space="preserve"> PAGEREF _Toc9284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4CB02D">
          <w:pPr>
            <w:pStyle w:val="26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_Toc159 </w:instrText>
          </w:r>
          <w:r>
            <w:fldChar w:fldCharType="separate"/>
          </w:r>
          <w:r>
            <w:t>第四章 详细业务规则与边界</w:t>
          </w:r>
          <w:r>
            <w:tab/>
          </w:r>
          <w:r>
            <w:fldChar w:fldCharType="begin"/>
          </w:r>
          <w:r>
            <w:instrText xml:space="preserve"> PAGEREF _Toc159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2DB2C76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_Toc1146 </w:instrText>
          </w:r>
          <w:r>
            <w:fldChar w:fldCharType="separate"/>
          </w:r>
          <w:r>
            <w:t>4.1 分级额度规则</w:t>
          </w:r>
          <w:r>
            <w:tab/>
          </w:r>
          <w:r>
            <w:fldChar w:fldCharType="begin"/>
          </w:r>
          <w:r>
            <w:instrText xml:space="preserve"> PAGEREF _Toc1146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1D2F08A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_Toc6682 </w:instrText>
          </w:r>
          <w:r>
            <w:fldChar w:fldCharType="separate"/>
          </w:r>
          <w:r>
            <w:t>4.2 借阅额度校验规则</w:t>
          </w:r>
          <w:r>
            <w:tab/>
          </w:r>
          <w:r>
            <w:fldChar w:fldCharType="begin"/>
          </w:r>
          <w:r>
            <w:instrText xml:space="preserve"> PAGEREF _Toc6682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DB2004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_Toc29142 </w:instrText>
          </w:r>
          <w:r>
            <w:fldChar w:fldCharType="separate"/>
          </w:r>
          <w:r>
            <w:t>4.3 默认类型与规则配置</w:t>
          </w:r>
          <w:r>
            <w:tab/>
          </w:r>
          <w:r>
            <w:fldChar w:fldCharType="begin"/>
          </w:r>
          <w:r>
            <w:instrText xml:space="preserve"> PAGEREF _Toc29142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88E82D">
          <w:pPr>
            <w:pStyle w:val="26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_Toc27708 </w:instrText>
          </w:r>
          <w:r>
            <w:fldChar w:fldCharType="separate"/>
          </w:r>
          <w:r>
            <w:t>第五章 影响范围与风险控制</w:t>
          </w:r>
          <w:r>
            <w:tab/>
          </w:r>
          <w:r>
            <w:fldChar w:fldCharType="begin"/>
          </w:r>
          <w:r>
            <w:instrText xml:space="preserve"> PAGEREF _Toc27708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CB297A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_Toc21991 </w:instrText>
          </w:r>
          <w:r>
            <w:fldChar w:fldCharType="separate"/>
          </w:r>
          <w:r>
            <w:t>5.1 风险及应对</w:t>
          </w:r>
          <w:r>
            <w:tab/>
          </w:r>
          <w:r>
            <w:fldChar w:fldCharType="begin"/>
          </w:r>
          <w:r>
            <w:instrText xml:space="preserve"> PAGEREF _Toc21991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0BEDF4">
          <w:pPr>
            <w:pStyle w:val="26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_Toc13633 </w:instrText>
          </w:r>
          <w:r>
            <w:fldChar w:fldCharType="separate"/>
          </w:r>
          <w:r>
            <w:t>第六章 验收条件与验证追踪</w:t>
          </w:r>
          <w:r>
            <w:tab/>
          </w:r>
          <w:r>
            <w:fldChar w:fldCharType="begin"/>
          </w:r>
          <w:r>
            <w:instrText xml:space="preserve"> PAGEREF _Toc13633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2F2E7B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_Toc3415 </w:instrText>
          </w:r>
          <w:r>
            <w:fldChar w:fldCharType="separate"/>
          </w:r>
          <w:r>
            <w:t>6.1 验证记录要求</w:t>
          </w:r>
          <w:r>
            <w:tab/>
          </w:r>
          <w:r>
            <w:fldChar w:fldCharType="begin"/>
          </w:r>
          <w:r>
            <w:instrText xml:space="preserve"> PAGEREF _Toc3415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75FDDE9">
          <w:pPr>
            <w:pStyle w:val="26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_Toc278 </w:instrText>
          </w:r>
          <w:r>
            <w:fldChar w:fldCharType="separate"/>
          </w:r>
          <w:r>
            <w:t>第七章 审批、实施与基线管理</w:t>
          </w:r>
          <w:r>
            <w:tab/>
          </w:r>
          <w:r>
            <w:fldChar w:fldCharType="begin"/>
          </w:r>
          <w:r>
            <w:instrText xml:space="preserve"> PAGEREF _Toc278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403CCC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_Toc22150 </w:instrText>
          </w:r>
          <w:r>
            <w:fldChar w:fldCharType="separate"/>
          </w:r>
          <w:r>
            <w:t>7.1 关联记录</w:t>
          </w:r>
          <w:r>
            <w:tab/>
          </w:r>
          <w:r>
            <w:fldChar w:fldCharType="begin"/>
          </w:r>
          <w:r>
            <w:instrText xml:space="preserve"> PAGEREF _Toc22150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C61CB7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_Toc5665 </w:instrText>
          </w:r>
          <w:r>
            <w:fldChar w:fldCharType="separate"/>
          </w:r>
          <w:r>
            <w:t>7.2 基线更新内容</w:t>
          </w:r>
          <w:r>
            <w:tab/>
          </w:r>
          <w:r>
            <w:fldChar w:fldCharType="begin"/>
          </w:r>
          <w:r>
            <w:instrText xml:space="preserve"> PAGEREF _Toc5665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935D6AC">
          <w:pPr>
            <w:pStyle w:val="26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_Toc25018 </w:instrText>
          </w:r>
          <w:r>
            <w:fldChar w:fldCharType="separate"/>
          </w:r>
          <w:r>
            <w:t>第八章 变更关闭条件与文档维护</w:t>
          </w:r>
          <w:r>
            <w:tab/>
          </w:r>
          <w:r>
            <w:fldChar w:fldCharType="begin"/>
          </w:r>
          <w:r>
            <w:instrText xml:space="preserve"> PAGEREF _Toc25018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6AD735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_Toc16675 </w:instrText>
          </w:r>
          <w:r>
            <w:fldChar w:fldCharType="separate"/>
          </w:r>
          <w:r>
            <w:t>8.1 关闭条件</w:t>
          </w:r>
          <w:r>
            <w:tab/>
          </w:r>
          <w:r>
            <w:fldChar w:fldCharType="begin"/>
          </w:r>
          <w:r>
            <w:instrText xml:space="preserve"> PAGEREF _Toc16675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C22FF5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_Toc30718 </w:instrText>
          </w:r>
          <w:r>
            <w:fldChar w:fldCharType="separate"/>
          </w:r>
          <w:r>
            <w:t>8.2 后续维护要求</w:t>
          </w:r>
          <w:r>
            <w:tab/>
          </w:r>
          <w:r>
            <w:fldChar w:fldCharType="begin"/>
          </w:r>
          <w:r>
            <w:instrText xml:space="preserve"> PAGEREF _Toc30718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AA0C72">
          <w:pPr>
            <w:pStyle w:val="29"/>
            <w:tabs>
              <w:tab w:val="right" w:leader="dot" w:pos="9518"/>
            </w:tabs>
          </w:pPr>
          <w:r>
            <w:fldChar w:fldCharType="begin"/>
          </w:r>
          <w:r>
            <w:instrText xml:space="preserve"> HYPERLINK \l _Toc16664 </w:instrText>
          </w:r>
          <w:r>
            <w:fldChar w:fldCharType="separate"/>
          </w:r>
          <w:r>
            <w:t>8.3 文档版本记录</w:t>
          </w:r>
          <w:r>
            <w:tab/>
          </w:r>
          <w:r>
            <w:fldChar w:fldCharType="begin"/>
          </w:r>
          <w:r>
            <w:instrText xml:space="preserve"> PAGEREF _Toc16664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7C183B3">
          <w:pPr>
            <w:sectPr>
              <w:footerReference r:id="rId5" w:type="default"/>
              <w:pgSz w:w="12240" w:h="15840"/>
              <w:pgMar w:top="1247" w:right="1361" w:bottom="1247" w:left="1361" w:header="720" w:footer="720" w:gutter="0"/>
              <w:cols w:space="720" w:num="1"/>
              <w:docGrid w:linePitch="360" w:charSpace="0"/>
            </w:sectPr>
          </w:pPr>
          <w:r>
            <w:fldChar w:fldCharType="end"/>
          </w:r>
          <w:bookmarkStart w:id="27" w:name="_GoBack"/>
          <w:bookmarkEnd w:id="27"/>
        </w:p>
      </w:sdtContent>
    </w:sdt>
    <w:p w14:paraId="4DF9434D"/>
    <w:p w14:paraId="0294942E">
      <w:pPr>
        <w:pStyle w:val="3"/>
        <w:rPr>
          <w:rFonts w:hint="eastAsia" w:ascii="宋体" w:hAnsi="宋体" w:eastAsia="宋体" w:cs="宋体"/>
          <w:b/>
          <w:bCs/>
        </w:rPr>
      </w:pPr>
      <w:bookmarkStart w:id="0" w:name="_Toc1632"/>
      <w:r>
        <w:rPr>
          <w:rFonts w:hint="eastAsia" w:ascii="宋体" w:hAnsi="宋体" w:eastAsia="宋体" w:cs="宋体"/>
          <w:b/>
          <w:bCs/>
        </w:rPr>
        <w:t>第一章 变更总览</w:t>
      </w:r>
      <w:bookmarkEnd w:id="0"/>
    </w:p>
    <w:p w14:paraId="21F83AA0">
      <w:pPr>
        <w:pStyle w:val="4"/>
      </w:pPr>
      <w:bookmarkStart w:id="1" w:name="_Toc12064"/>
      <w:r>
        <w:t>1.1 变更摘要</w:t>
      </w:r>
      <w:bookmarkEnd w:id="1"/>
    </w:p>
    <w:p w14:paraId="6BE69115">
      <w:r>
        <w:rPr>
          <w:rFonts w:ascii="Times New Roman" w:hAnsi="Times New Roman" w:eastAsia="宋体"/>
          <w:b w:val="0"/>
          <w:sz w:val="20"/>
        </w:rPr>
        <w:t>CR-001 对图书借阅和归还登记系统的分级借阅额度需求进行新增与修订：新增 REQ-USER-11，明确本科生最多借阅 5 本、研究生最多借阅 10 本、教师最多借阅 15 本，额度规则由规则表配置；修订 REQ-USER-01，明确读者信息维护包含读者类型；修订 REQ-BORROW-04，要求借书登记按 REQ-USER-11 规则表读取额度并校验。新增读者默认类型为“本科生”。</w:t>
      </w:r>
    </w:p>
    <w:p w14:paraId="510D8236">
      <w:r>
        <w:rPr>
          <w:rFonts w:ascii="Times New Roman" w:hAnsi="Times New Roman" w:eastAsia="宋体"/>
          <w:b w:val="0"/>
          <w:sz w:val="20"/>
        </w:rPr>
        <w:t>该变更建立“读者类型—额度规则—借阅校验”的需求链路。原有图书状态校验、借阅记录生成、可借数量扣减及事务原子执行要求继续有效。</w:t>
      </w:r>
    </w:p>
    <w:p w14:paraId="64C58A5A">
      <w:pPr>
        <w:pStyle w:val="4"/>
      </w:pPr>
      <w:bookmarkStart w:id="2" w:name="_Toc31140"/>
      <w:r>
        <w:t>1.2 变更基本信息</w:t>
      </w:r>
      <w:bookmarkEnd w:id="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687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9EAF7"/>
          </w:tcPr>
          <w:p w14:paraId="4323EE78">
            <w:pPr>
              <w:spacing w:after="0"/>
            </w:pPr>
            <w:r>
              <w:rPr>
                <w:rFonts w:ascii="Times New Roman" w:hAnsi="Times New Roman" w:eastAsia="宋体"/>
                <w:b/>
                <w:sz w:val="19"/>
              </w:rPr>
              <w:t>字段</w:t>
            </w:r>
          </w:p>
        </w:tc>
        <w:tc>
          <w:tcPr>
            <w:tcW w:w="6236" w:type="dxa"/>
            <w:shd w:val="clear" w:color="auto" w:fill="D9EAF7"/>
          </w:tcPr>
          <w:p w14:paraId="4CEFA553">
            <w:pPr>
              <w:spacing w:after="0"/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 w14:paraId="027A4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5B711E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变更类型</w:t>
            </w:r>
          </w:p>
        </w:tc>
        <w:tc>
          <w:tcPr>
            <w:tcW w:w="6236" w:type="dxa"/>
          </w:tcPr>
          <w:p w14:paraId="182B19B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新增需求、修订现有需求</w:t>
            </w:r>
          </w:p>
        </w:tc>
      </w:tr>
      <w:tr w14:paraId="39AF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99AE6A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关联需求</w:t>
            </w:r>
          </w:p>
        </w:tc>
        <w:tc>
          <w:tcPr>
            <w:tcW w:w="6236" w:type="dxa"/>
          </w:tcPr>
          <w:p w14:paraId="430C20E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新增 REQ-USER-11；修订 REQ-USER-01、REQ-BORROW-04</w:t>
            </w:r>
          </w:p>
        </w:tc>
      </w:tr>
      <w:tr w14:paraId="7690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62DAEF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提出人／提出日期</w:t>
            </w:r>
          </w:p>
        </w:tc>
        <w:tc>
          <w:tcPr>
            <w:tcW w:w="6236" w:type="dxa"/>
          </w:tcPr>
          <w:p w14:paraId="2019F8EC">
            <w:pPr>
              <w:spacing w:after="0"/>
            </w:pPr>
            <w:r>
              <w:rPr>
                <w:rFonts w:hint="eastAsia"/>
                <w:b w:val="0"/>
                <w:sz w:val="19"/>
                <w:lang w:val="en-US" w:eastAsia="zh-CN"/>
              </w:rPr>
              <w:t>汪雨婷</w:t>
            </w:r>
            <w:r>
              <w:rPr>
                <w:rFonts w:ascii="Times New Roman" w:hAnsi="Times New Roman" w:eastAsia="宋体"/>
                <w:b w:val="0"/>
                <w:sz w:val="19"/>
              </w:rPr>
              <w:t>／2026-10-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</w:tr>
      <w:tr w14:paraId="6D30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9765F4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优先级</w:t>
            </w:r>
          </w:p>
        </w:tc>
        <w:tc>
          <w:tcPr>
            <w:tcW w:w="6236" w:type="dxa"/>
          </w:tcPr>
          <w:p w14:paraId="64284A0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高（Must，按变更后需求池）</w:t>
            </w:r>
          </w:p>
        </w:tc>
      </w:tr>
      <w:tr w14:paraId="568B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72C297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审批记录</w:t>
            </w:r>
          </w:p>
        </w:tc>
        <w:tc>
          <w:tcPr>
            <w:tcW w:w="6236" w:type="dxa"/>
          </w:tcPr>
          <w:p w14:paraId="13B95BA2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CCB-001；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全组人员于2026-10-18参与评审</w:t>
            </w:r>
          </w:p>
        </w:tc>
      </w:tr>
      <w:tr w14:paraId="754B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83FDB2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影响分析</w:t>
            </w:r>
          </w:p>
        </w:tc>
        <w:tc>
          <w:tcPr>
            <w:tcW w:w="6236" w:type="dxa"/>
          </w:tcPr>
          <w:p w14:paraId="49267A7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IA-001</w:t>
            </w:r>
          </w:p>
        </w:tc>
      </w:tr>
      <w:tr w14:paraId="5E17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B59246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验证记录</w:t>
            </w:r>
          </w:p>
        </w:tc>
        <w:tc>
          <w:tcPr>
            <w:tcW w:w="6236" w:type="dxa"/>
          </w:tcPr>
          <w:p w14:paraId="1E34127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VR-001</w:t>
            </w:r>
          </w:p>
        </w:tc>
      </w:tr>
      <w:tr w14:paraId="211F0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FD1DC7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变更后基线</w:t>
            </w:r>
          </w:p>
        </w:tc>
        <w:tc>
          <w:tcPr>
            <w:tcW w:w="6236" w:type="dxa"/>
          </w:tcPr>
          <w:p w14:paraId="0A89AB7D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V1.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</w:tr>
    </w:tbl>
    <w:p w14:paraId="11B41D47"/>
    <w:p w14:paraId="485C0D0E">
      <w:pPr>
        <w:pStyle w:val="4"/>
      </w:pPr>
      <w:bookmarkStart w:id="3" w:name="_Toc31489"/>
      <w:r>
        <w:t>1.3 变更控制原则</w:t>
      </w:r>
      <w:bookmarkEnd w:id="3"/>
    </w:p>
    <w:p w14:paraId="7DBF6BFA">
      <w:pPr>
        <w:numPr>
          <w:ilvl w:val="0"/>
          <w:numId w:val="7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变更使用唯一编号，并关联请求、影响分析、审批、验证和基线记录。</w:t>
      </w:r>
    </w:p>
    <w:p w14:paraId="2F9FBEC7">
      <w:pPr>
        <w:numPr>
          <w:ilvl w:val="0"/>
          <w:numId w:val="7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批准后应同步更新需求池、需求规格说明书、需求跟踪矩阵和测试文档。</w:t>
      </w:r>
    </w:p>
    <w:p w14:paraId="47406F54">
      <w:pPr>
        <w:numPr>
          <w:ilvl w:val="0"/>
          <w:numId w:val="7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“已基线”表示需求进入受控版本，不应替代真实测试证据。</w:t>
      </w:r>
    </w:p>
    <w:p w14:paraId="66BC54A0">
      <w:pPr>
        <w:numPr>
          <w:ilvl w:val="0"/>
          <w:numId w:val="7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后续调整额度数值、读者类型、默认值或校验方式时，应发起新的变更请求，保留 CR-001 历史。</w:t>
      </w:r>
    </w:p>
    <w:p w14:paraId="40DA3402">
      <w:pPr>
        <w:pStyle w:val="3"/>
      </w:pPr>
      <w:bookmarkStart w:id="4" w:name="_Toc1691"/>
      <w:r>
        <w:t>第二章 变更背景、问题与目标</w:t>
      </w:r>
      <w:bookmarkEnd w:id="4"/>
    </w:p>
    <w:p w14:paraId="76D6CD73">
      <w:pPr>
        <w:pStyle w:val="4"/>
      </w:pPr>
      <w:bookmarkStart w:id="5" w:name="_Toc23911"/>
      <w:r>
        <w:t>2.1 变更背景</w:t>
      </w:r>
      <w:bookmarkEnd w:id="5"/>
    </w:p>
    <w:p w14:paraId="789E854F">
      <w:r>
        <w:rPr>
          <w:rFonts w:ascii="Times New Roman" w:hAnsi="Times New Roman" w:eastAsia="宋体"/>
          <w:b w:val="0"/>
          <w:sz w:val="20"/>
        </w:rPr>
        <w:t>V1.0 中，REQ-USER-01 涉及读者注册、读者证号、姓名、读者类别与可借额度维护；REQ-BORROW-04 要求借书时校验读者额度与图书状态，但未明确额度的统一取值来源，也未单独定义分级额度规则。需求池中缺少独立的 REQ-USER-11，导致读者类型、额度规则和借书校验之间的追踪关系不够明确。</w:t>
      </w:r>
    </w:p>
    <w:p w14:paraId="5D61E7E8">
      <w:pPr>
        <w:pStyle w:val="4"/>
      </w:pPr>
      <w:bookmarkStart w:id="6" w:name="_Toc12842"/>
      <w:r>
        <w:t>2.2 变更前存在的问题</w:t>
      </w:r>
      <w:bookmarkEnd w:id="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0FF7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D9EAF7"/>
          </w:tcPr>
          <w:p w14:paraId="1E235D70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w="3515" w:type="dxa"/>
            <w:shd w:val="clear" w:color="auto" w:fill="D9EAF7"/>
          </w:tcPr>
          <w:p w14:paraId="1148C85E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描述</w:t>
            </w:r>
          </w:p>
        </w:tc>
        <w:tc>
          <w:tcPr>
            <w:tcW w:w="3855" w:type="dxa"/>
            <w:shd w:val="clear" w:color="auto" w:fill="D9EAF7"/>
          </w:tcPr>
          <w:p w14:paraId="615B98E0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潜在影响</w:t>
            </w:r>
          </w:p>
        </w:tc>
      </w:tr>
      <w:tr w14:paraId="1ECD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016CC9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P-01</w:t>
            </w:r>
          </w:p>
        </w:tc>
        <w:tc>
          <w:tcPr>
            <w:tcW w:w="3515" w:type="dxa"/>
          </w:tcPr>
          <w:p w14:paraId="094FE78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读者信息需求未明确规定读者类型字段。</w:t>
            </w:r>
          </w:p>
        </w:tc>
        <w:tc>
          <w:tcPr>
            <w:tcW w:w="3855" w:type="dxa"/>
          </w:tcPr>
          <w:p w14:paraId="33722DE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无法稳定判断读者适用的额度类别。</w:t>
            </w:r>
          </w:p>
        </w:tc>
      </w:tr>
      <w:tr w14:paraId="53F6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1D8963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P-02</w:t>
            </w:r>
          </w:p>
        </w:tc>
        <w:tc>
          <w:tcPr>
            <w:tcW w:w="3515" w:type="dxa"/>
          </w:tcPr>
          <w:p w14:paraId="198DEB6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借书需求只写“校验读者额度”，未说明额度来源。</w:t>
            </w:r>
          </w:p>
        </w:tc>
        <w:tc>
          <w:tcPr>
            <w:tcW w:w="3855" w:type="dxa"/>
          </w:tcPr>
          <w:p w14:paraId="1FAA20C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不同模块可能采用不同规则或固定额度。</w:t>
            </w:r>
          </w:p>
        </w:tc>
      </w:tr>
      <w:tr w14:paraId="27CE6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6C809D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P-03</w:t>
            </w:r>
          </w:p>
        </w:tc>
        <w:tc>
          <w:tcPr>
            <w:tcW w:w="3515" w:type="dxa"/>
          </w:tcPr>
          <w:p w14:paraId="2965C6C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没有独立分级额度需求。</w:t>
            </w:r>
          </w:p>
        </w:tc>
        <w:tc>
          <w:tcPr>
            <w:tcW w:w="3855" w:type="dxa"/>
          </w:tcPr>
          <w:p w14:paraId="57ED59E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额度数值和验收标准缺少独立追踪点。</w:t>
            </w:r>
          </w:p>
        </w:tc>
      </w:tr>
      <w:tr w14:paraId="28D1C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0DFD41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P-04</w:t>
            </w:r>
          </w:p>
        </w:tc>
        <w:tc>
          <w:tcPr>
            <w:tcW w:w="3515" w:type="dxa"/>
          </w:tcPr>
          <w:p w14:paraId="43D7CB4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新增读者默认类型未定义。</w:t>
            </w:r>
          </w:p>
        </w:tc>
        <w:tc>
          <w:tcPr>
            <w:tcW w:w="3855" w:type="dxa"/>
          </w:tcPr>
          <w:p w14:paraId="7F049C1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新读者可能出现类型为空或默认处理不一致。</w:t>
            </w:r>
          </w:p>
        </w:tc>
      </w:tr>
    </w:tbl>
    <w:p w14:paraId="48BE7A98"/>
    <w:p w14:paraId="79BA0DC9">
      <w:pPr>
        <w:pStyle w:val="4"/>
      </w:pPr>
      <w:bookmarkStart w:id="7" w:name="_Toc5791"/>
      <w:r>
        <w:t>2.3 变更目标</w:t>
      </w:r>
      <w:bookmarkEnd w:id="7"/>
    </w:p>
    <w:p w14:paraId="7256BDC1">
      <w:pPr>
        <w:numPr>
          <w:ilvl w:val="0"/>
          <w:numId w:val="8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在读者信息中明确维护读者类型。</w:t>
      </w:r>
    </w:p>
    <w:p w14:paraId="00A6A046">
      <w:pPr>
        <w:numPr>
          <w:ilvl w:val="0"/>
          <w:numId w:val="8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建立 REQ-USER-11，定义三类读者额度及规则表配置要求。</w:t>
      </w:r>
    </w:p>
    <w:p w14:paraId="495FFB48">
      <w:pPr>
        <w:numPr>
          <w:ilvl w:val="0"/>
          <w:numId w:val="8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让 REQ-BORROW-04 明确引用 REQ-USER-11 作为额度校验依据。</w:t>
      </w:r>
    </w:p>
    <w:p w14:paraId="574FE358">
      <w:pPr>
        <w:numPr>
          <w:ilvl w:val="0"/>
          <w:numId w:val="8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明确新增读者默认类型为“本科生”。</w:t>
      </w:r>
    </w:p>
    <w:p w14:paraId="1DE63045">
      <w:pPr>
        <w:numPr>
          <w:ilvl w:val="0"/>
          <w:numId w:val="8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保持借阅记录和可借数量更新的事务原子性。</w:t>
      </w:r>
    </w:p>
    <w:p w14:paraId="41AB8A49">
      <w:pPr>
        <w:numPr>
          <w:ilvl w:val="0"/>
          <w:numId w:val="8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建立需求、设计、实现、测试和基线记录之间的追踪关系。</w:t>
      </w:r>
    </w:p>
    <w:p w14:paraId="67FD4971">
      <w:pPr>
        <w:pStyle w:val="4"/>
      </w:pPr>
      <w:bookmarkStart w:id="8" w:name="_Toc13939"/>
      <w:r>
        <w:t>2.4 预期收益</w:t>
      </w:r>
      <w:bookmarkEnd w:id="8"/>
    </w:p>
    <w:p w14:paraId="15624B4D">
      <w:r>
        <w:rPr>
          <w:rFonts w:ascii="Times New Roman" w:hAnsi="Times New Roman" w:eastAsia="宋体"/>
          <w:b w:val="0"/>
          <w:sz w:val="20"/>
        </w:rPr>
        <w:t>变更后，额度规则与读者类型建立显式关联，借阅校验依据统一且便于测试，未来调整规则时也更容易追踪影响。实际收益仍应以系统实现和验证结果为准。</w:t>
      </w:r>
    </w:p>
    <w:p w14:paraId="0D57024C">
      <w:pPr>
        <w:pStyle w:val="3"/>
      </w:pPr>
      <w:bookmarkStart w:id="9" w:name="_Toc20236"/>
      <w:r>
        <w:t>第三章 变更前后需求对比</w:t>
      </w:r>
      <w:bookmarkEnd w:id="9"/>
    </w:p>
    <w:p w14:paraId="7C424030">
      <w:pPr>
        <w:pStyle w:val="4"/>
      </w:pPr>
      <w:bookmarkStart w:id="10" w:name="_Toc15863"/>
      <w:r>
        <w:t>3.1 V1.0 与 V1.</w:t>
      </w:r>
      <w:r>
        <w:rPr>
          <w:rFonts w:hint="eastAsia" w:eastAsia="宋体"/>
          <w:lang w:val="en-US" w:eastAsia="zh-CN"/>
        </w:rPr>
        <w:t>1</w:t>
      </w:r>
      <w:r>
        <w:t xml:space="preserve"> 对照</w:t>
      </w:r>
      <w:bookmarkEnd w:id="1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2ADB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9EAF7"/>
          </w:tcPr>
          <w:p w14:paraId="584F53D9"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需求 ID</w:t>
            </w:r>
          </w:p>
        </w:tc>
        <w:tc>
          <w:tcPr>
            <w:tcW w:w="2494" w:type="dxa"/>
            <w:shd w:val="clear" w:color="auto" w:fill="D9EAF7"/>
          </w:tcPr>
          <w:p w14:paraId="24DCC43C"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V1.0 原需求</w:t>
            </w:r>
          </w:p>
        </w:tc>
        <w:tc>
          <w:tcPr>
            <w:tcW w:w="3685" w:type="dxa"/>
            <w:shd w:val="clear" w:color="auto" w:fill="D9EAF7"/>
          </w:tcPr>
          <w:p w14:paraId="58EE720C"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V1.</w:t>
            </w:r>
            <w:r>
              <w:rPr>
                <w:rFonts w:hint="eastAsia"/>
                <w:b/>
                <w:sz w:val="16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b/>
                <w:sz w:val="16"/>
              </w:rPr>
              <w:t xml:space="preserve"> 变更后需求</w:t>
            </w:r>
          </w:p>
        </w:tc>
        <w:tc>
          <w:tcPr>
            <w:tcW w:w="1247" w:type="dxa"/>
            <w:shd w:val="clear" w:color="auto" w:fill="D9EAF7"/>
          </w:tcPr>
          <w:p w14:paraId="2D346F26"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</w:tr>
      <w:tr w14:paraId="6CC89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1A2A96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REQ-USER-01</w:t>
            </w:r>
          </w:p>
        </w:tc>
        <w:tc>
          <w:tcPr>
            <w:tcW w:w="2494" w:type="dxa"/>
          </w:tcPr>
          <w:p w14:paraId="10B9D37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读者注册、读者证号、姓名、读者类别与可借额度维护。</w:t>
            </w:r>
          </w:p>
        </w:tc>
        <w:tc>
          <w:tcPr>
            <w:tcW w:w="3685" w:type="dxa"/>
          </w:tcPr>
          <w:p w14:paraId="1ABA171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读者证号、姓名、读者类型、邮箱、账号状态（正常／冻结）。</w:t>
            </w:r>
          </w:p>
        </w:tc>
        <w:tc>
          <w:tcPr>
            <w:tcW w:w="1247" w:type="dxa"/>
          </w:tcPr>
          <w:p w14:paraId="39E5D4B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修订：明确读者类型及信息字段</w:t>
            </w:r>
          </w:p>
        </w:tc>
      </w:tr>
      <w:tr w14:paraId="099A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C3B122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REQ-BORROW-04</w:t>
            </w:r>
          </w:p>
        </w:tc>
        <w:tc>
          <w:tcPr>
            <w:tcW w:w="2494" w:type="dxa"/>
          </w:tcPr>
          <w:p w14:paraId="59A5C06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校验读者额度与图书状态后生成借阅记录、扣减可借数，事务原子执行。</w:t>
            </w:r>
          </w:p>
        </w:tc>
        <w:tc>
          <w:tcPr>
            <w:tcW w:w="3685" w:type="dxa"/>
          </w:tcPr>
          <w:p w14:paraId="1374E53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按 REQ-USER-11 规则表读取额度并校验图书状态，之后生成借阅记录、扣减可借数，事务原子执行。</w:t>
            </w:r>
          </w:p>
        </w:tc>
        <w:tc>
          <w:tcPr>
            <w:tcW w:w="1247" w:type="dxa"/>
          </w:tcPr>
          <w:p w14:paraId="39F1927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修订：明确额度取值来源</w:t>
            </w:r>
          </w:p>
        </w:tc>
      </w:tr>
      <w:tr w14:paraId="04584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584DEA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REQ-USER-11</w:t>
            </w:r>
          </w:p>
        </w:tc>
        <w:tc>
          <w:tcPr>
            <w:tcW w:w="2494" w:type="dxa"/>
          </w:tcPr>
          <w:p w14:paraId="1B2A079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V1.0 中不存在该需求。</w:t>
            </w:r>
          </w:p>
        </w:tc>
        <w:tc>
          <w:tcPr>
            <w:tcW w:w="3685" w:type="dxa"/>
          </w:tcPr>
          <w:p w14:paraId="5A79660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本科生 5 本、研究生 10 本、教师 15 本；额度规则由规则表配置；新增读者默认类型为本科生。</w:t>
            </w:r>
          </w:p>
        </w:tc>
        <w:tc>
          <w:tcPr>
            <w:tcW w:w="1247" w:type="dxa"/>
          </w:tcPr>
          <w:p w14:paraId="3DE9064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新增需求</w:t>
            </w:r>
          </w:p>
        </w:tc>
      </w:tr>
    </w:tbl>
    <w:p w14:paraId="51D97337"/>
    <w:p w14:paraId="03CCC53D">
      <w:pPr>
        <w:pStyle w:val="4"/>
      </w:pPr>
      <w:bookmarkStart w:id="11" w:name="_Toc9284"/>
      <w:r>
        <w:t>3.2 变更涉及与不涉及的内容</w:t>
      </w:r>
      <w:bookmarkEnd w:id="11"/>
    </w:p>
    <w:p w14:paraId="25C76C5A">
      <w:r>
        <w:rPr>
          <w:rFonts w:ascii="Times New Roman" w:hAnsi="Times New Roman" w:eastAsia="宋体"/>
          <w:b w:val="0"/>
          <w:sz w:val="20"/>
        </w:rPr>
        <w:t>涉及内容：读者信息字段、读者类型默认值、分级额度配置、借书时额度校验逻辑、需求跟踪和相关测试。</w:t>
      </w:r>
    </w:p>
    <w:p w14:paraId="47143C3E">
      <w:r>
        <w:rPr>
          <w:rFonts w:ascii="Times New Roman" w:hAnsi="Times New Roman" w:eastAsia="宋体"/>
          <w:b w:val="0"/>
          <w:sz w:val="20"/>
        </w:rPr>
        <w:t>不改变内容：图书状态校验、借阅记录生成、可借数量扣减及事务原子性等既有要求；图书检索、归还、续借、逾期和统计需求不属于本次直接变更范围。如实施中发现其他模块必须修改，应记录实际影响并按项目流程评估。</w:t>
      </w:r>
    </w:p>
    <w:p w14:paraId="09A8FA28">
      <w:pPr>
        <w:pStyle w:val="3"/>
      </w:pPr>
      <w:bookmarkStart w:id="12" w:name="_Toc159"/>
      <w:r>
        <w:t>第四章 详细业务规则与边界</w:t>
      </w:r>
      <w:bookmarkEnd w:id="12"/>
    </w:p>
    <w:p w14:paraId="2CA5AE91">
      <w:pPr>
        <w:pStyle w:val="4"/>
      </w:pPr>
      <w:bookmarkStart w:id="13" w:name="_Toc1146"/>
      <w:r>
        <w:t>4.1 分级额度规则</w:t>
      </w:r>
      <w:bookmarkEnd w:id="1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38F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AF7"/>
          </w:tcPr>
          <w:p w14:paraId="23DB55CD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读者类型</w:t>
            </w:r>
          </w:p>
        </w:tc>
        <w:tc>
          <w:tcPr>
            <w:tcW w:w="1701" w:type="dxa"/>
            <w:shd w:val="clear" w:color="auto" w:fill="D9EAF7"/>
          </w:tcPr>
          <w:p w14:paraId="6F2F70EE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最大可借数量</w:t>
            </w:r>
          </w:p>
        </w:tc>
        <w:tc>
          <w:tcPr>
            <w:tcW w:w="5386" w:type="dxa"/>
            <w:shd w:val="clear" w:color="auto" w:fill="D9EAF7"/>
          </w:tcPr>
          <w:p w14:paraId="5B2F5E95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边界验证重点</w:t>
            </w:r>
          </w:p>
        </w:tc>
      </w:tr>
      <w:tr w14:paraId="4E8CD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21442E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本科生</w:t>
            </w:r>
          </w:p>
        </w:tc>
        <w:tc>
          <w:tcPr>
            <w:tcW w:w="1701" w:type="dxa"/>
          </w:tcPr>
          <w:p w14:paraId="4E8286E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5 本</w:t>
            </w:r>
          </w:p>
        </w:tc>
        <w:tc>
          <w:tcPr>
            <w:tcW w:w="5386" w:type="dxa"/>
          </w:tcPr>
          <w:p w14:paraId="65ECB10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当前借阅数为 4 时，在其他条件满足下可借第 5 本；已借 5 本时，第 6 本应被拒绝。</w:t>
            </w:r>
          </w:p>
        </w:tc>
      </w:tr>
      <w:tr w14:paraId="6683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834647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研究生</w:t>
            </w:r>
          </w:p>
        </w:tc>
        <w:tc>
          <w:tcPr>
            <w:tcW w:w="1701" w:type="dxa"/>
          </w:tcPr>
          <w:p w14:paraId="244C660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10 本</w:t>
            </w:r>
          </w:p>
        </w:tc>
        <w:tc>
          <w:tcPr>
            <w:tcW w:w="5386" w:type="dxa"/>
          </w:tcPr>
          <w:p w14:paraId="1E69AB3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当前借阅数为 9 时可借第 10 本；已借 10 本时，第 11 本应被拒绝。</w:t>
            </w:r>
          </w:p>
        </w:tc>
      </w:tr>
      <w:tr w14:paraId="75D9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C413FF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w="1701" w:type="dxa"/>
          </w:tcPr>
          <w:p w14:paraId="5019432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15 本</w:t>
            </w:r>
          </w:p>
        </w:tc>
        <w:tc>
          <w:tcPr>
            <w:tcW w:w="5386" w:type="dxa"/>
          </w:tcPr>
          <w:p w14:paraId="652282D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当前借阅数为 14 时可借第 15 本；已借 15 本时，第 16 本应被拒绝。</w:t>
            </w:r>
          </w:p>
        </w:tc>
      </w:tr>
    </w:tbl>
    <w:p w14:paraId="378D570F"/>
    <w:p w14:paraId="02605CE3">
      <w:pPr>
        <w:pStyle w:val="4"/>
      </w:pPr>
      <w:bookmarkStart w:id="14" w:name="_Toc6682"/>
      <w:r>
        <w:t>4.2 借阅额度校验规则</w:t>
      </w:r>
      <w:bookmarkEnd w:id="14"/>
    </w:p>
    <w:p w14:paraId="449C3C7D">
      <w:pPr>
        <w:numPr>
          <w:ilvl w:val="0"/>
          <w:numId w:val="9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借阅提交时，应根据读者当前类型从 REQ-USER-11 对应规则配置中获取最大可借数量。</w:t>
      </w:r>
    </w:p>
    <w:p w14:paraId="40B812A9">
      <w:pPr>
        <w:numPr>
          <w:ilvl w:val="0"/>
          <w:numId w:val="9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系统应将当前有效借阅数量与适用额度比较；达到上限时，不应创建成功的借阅记录。</w:t>
      </w:r>
    </w:p>
    <w:p w14:paraId="35F7D157">
      <w:pPr>
        <w:numPr>
          <w:ilvl w:val="0"/>
          <w:numId w:val="9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读者账号状态和图书可借状态仍需满足原 REQ-BORROW-04 规则。</w:t>
      </w:r>
    </w:p>
    <w:p w14:paraId="2DD3426F">
      <w:pPr>
        <w:numPr>
          <w:ilvl w:val="0"/>
          <w:numId w:val="9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借阅记录创建与可借数量扣减应在同一事务中完成；失败时应回滚相关更新。</w:t>
      </w:r>
    </w:p>
    <w:p w14:paraId="3EFD7078">
      <w:pPr>
        <w:numPr>
          <w:ilvl w:val="0"/>
          <w:numId w:val="9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页面展示的额度或可借状态不能代替服务端提交时的最终校验。</w:t>
      </w:r>
    </w:p>
    <w:p w14:paraId="2BABAD1E">
      <w:pPr>
        <w:pStyle w:val="4"/>
      </w:pPr>
      <w:bookmarkStart w:id="15" w:name="_Toc29142"/>
      <w:r>
        <w:t>4.3 默认类型与规则配置</w:t>
      </w:r>
      <w:bookmarkEnd w:id="15"/>
    </w:p>
    <w:p w14:paraId="565B8860">
      <w:r>
        <w:rPr>
          <w:rFonts w:ascii="Times New Roman" w:hAnsi="Times New Roman" w:eastAsia="宋体"/>
          <w:b w:val="0"/>
          <w:sz w:val="20"/>
        </w:rPr>
        <w:t>新增读者未指定类型时，默认类型为“本科生”；若注册流程允许管理员显式选择类型，则应保存实际选择值，不应在保存时无条件覆盖为默认值。REQ-USER-11 规定额度由规则表配置，本文件不擅自指定数据库表名、字段名或后台管理方式。开发实现应确保配置数值与需求一致，并避免硬编码统一额度覆盖分级规则。</w:t>
      </w:r>
    </w:p>
    <w:p w14:paraId="14C90CB3">
      <w:pPr>
        <w:pStyle w:val="3"/>
      </w:pPr>
      <w:bookmarkStart w:id="16" w:name="_Toc27708"/>
      <w:r>
        <w:t>第五章 影响范围与风险控制</w:t>
      </w:r>
      <w:bookmarkEnd w:id="1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10F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AF7"/>
          </w:tcPr>
          <w:p w14:paraId="68960CC3"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影响领域</w:t>
            </w:r>
          </w:p>
        </w:tc>
        <w:tc>
          <w:tcPr>
            <w:tcW w:w="1134" w:type="dxa"/>
            <w:shd w:val="clear" w:color="auto" w:fill="D9EAF7"/>
          </w:tcPr>
          <w:p w14:paraId="447BC9E3"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等级</w:t>
            </w:r>
          </w:p>
        </w:tc>
        <w:tc>
          <w:tcPr>
            <w:tcW w:w="5953" w:type="dxa"/>
            <w:shd w:val="clear" w:color="auto" w:fill="D9EAF7"/>
          </w:tcPr>
          <w:p w14:paraId="0AA6E42C"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影响说明与控制措施</w:t>
            </w:r>
          </w:p>
        </w:tc>
      </w:tr>
      <w:tr w14:paraId="1835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CCC16B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需求文档与需求池</w:t>
            </w:r>
          </w:p>
        </w:tc>
        <w:tc>
          <w:tcPr>
            <w:tcW w:w="1134" w:type="dxa"/>
          </w:tcPr>
          <w:p w14:paraId="24747B0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5953" w:type="dxa"/>
          </w:tcPr>
          <w:p w14:paraId="5DEEBD4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新增一条需求并修订两条需求；同步更新 SRS、需求池及版本差异。</w:t>
            </w:r>
          </w:p>
        </w:tc>
      </w:tr>
      <w:tr w14:paraId="4568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FBF8D1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读者信息维护</w:t>
            </w:r>
          </w:p>
        </w:tc>
        <w:tc>
          <w:tcPr>
            <w:tcW w:w="1134" w:type="dxa"/>
          </w:tcPr>
          <w:p w14:paraId="2161304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中—高</w:t>
            </w:r>
          </w:p>
        </w:tc>
        <w:tc>
          <w:tcPr>
            <w:tcW w:w="5953" w:type="dxa"/>
          </w:tcPr>
          <w:p w14:paraId="7A1E37F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维护读者类型并处理默认值；核查表单、字段、校验和已有读者数据。</w:t>
            </w:r>
          </w:p>
        </w:tc>
      </w:tr>
      <w:tr w14:paraId="5662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BFC97C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额度规则配置</w:t>
            </w:r>
          </w:p>
        </w:tc>
        <w:tc>
          <w:tcPr>
            <w:tcW w:w="1134" w:type="dxa"/>
          </w:tcPr>
          <w:p w14:paraId="051042F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5953" w:type="dxa"/>
          </w:tcPr>
          <w:p w14:paraId="146E024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额度规则需由规则表提供；核对规则存储、读取与需求数值一致性。</w:t>
            </w:r>
          </w:p>
        </w:tc>
      </w:tr>
      <w:tr w14:paraId="5812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8D51A7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借书登记流程</w:t>
            </w:r>
          </w:p>
        </w:tc>
        <w:tc>
          <w:tcPr>
            <w:tcW w:w="1134" w:type="dxa"/>
          </w:tcPr>
          <w:p w14:paraId="38066A3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5953" w:type="dxa"/>
          </w:tcPr>
          <w:p w14:paraId="02C0EDF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额度校验逻辑变化；保留图书状态校验和事务原子性。</w:t>
            </w:r>
          </w:p>
        </w:tc>
      </w:tr>
      <w:tr w14:paraId="5348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2AA0C5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数据库与接口</w:t>
            </w:r>
          </w:p>
        </w:tc>
        <w:tc>
          <w:tcPr>
            <w:tcW w:w="1134" w:type="dxa"/>
          </w:tcPr>
          <w:p w14:paraId="6DA3CDF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待核查</w:t>
            </w:r>
          </w:p>
        </w:tc>
        <w:tc>
          <w:tcPr>
            <w:tcW w:w="5953" w:type="dxa"/>
          </w:tcPr>
          <w:p w14:paraId="4BD5AC1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是否需新增字段或调整规则表，取决于当前实现；由开发对照数据模型确认。</w:t>
            </w:r>
          </w:p>
        </w:tc>
      </w:tr>
      <w:tr w14:paraId="242D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2A6E71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测试与验收</w:t>
            </w:r>
          </w:p>
        </w:tc>
        <w:tc>
          <w:tcPr>
            <w:tcW w:w="1134" w:type="dxa"/>
          </w:tcPr>
          <w:p w14:paraId="2E19729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w="5953" w:type="dxa"/>
          </w:tcPr>
          <w:p w14:paraId="1E8E3B2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覆盖三类额度边界、默认类型、超额拒绝、事务一致性及原流程回归。</w:t>
            </w:r>
          </w:p>
        </w:tc>
      </w:tr>
      <w:tr w14:paraId="7D7D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AE340F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进度与资源</w:t>
            </w:r>
          </w:p>
        </w:tc>
        <w:tc>
          <w:tcPr>
            <w:tcW w:w="1134" w:type="dxa"/>
          </w:tcPr>
          <w:p w14:paraId="114C564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待核查</w:t>
            </w:r>
          </w:p>
        </w:tc>
        <w:tc>
          <w:tcPr>
            <w:tcW w:w="5953" w:type="dxa"/>
          </w:tcPr>
          <w:p w14:paraId="4A0D8FA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依据实际实现差异估算开发、测试和文档更新工作量。</w:t>
            </w:r>
          </w:p>
        </w:tc>
      </w:tr>
    </w:tbl>
    <w:p w14:paraId="6C52D075"/>
    <w:p w14:paraId="430F58E8">
      <w:pPr>
        <w:pStyle w:val="4"/>
      </w:pPr>
      <w:bookmarkStart w:id="17" w:name="_Toc21991"/>
      <w:r>
        <w:t>5.1 风险及应对</w:t>
      </w:r>
      <w:bookmarkEnd w:id="1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EE1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D9EAF7"/>
          </w:tcPr>
          <w:p w14:paraId="10B871D9"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风险</w:t>
            </w:r>
          </w:p>
        </w:tc>
        <w:tc>
          <w:tcPr>
            <w:tcW w:w="2665" w:type="dxa"/>
            <w:shd w:val="clear" w:color="auto" w:fill="D9EAF7"/>
          </w:tcPr>
          <w:p w14:paraId="51FB2391"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可能后果</w:t>
            </w:r>
          </w:p>
        </w:tc>
        <w:tc>
          <w:tcPr>
            <w:tcW w:w="4139" w:type="dxa"/>
            <w:shd w:val="clear" w:color="auto" w:fill="D9EAF7"/>
          </w:tcPr>
          <w:p w14:paraId="55046019"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应对措施</w:t>
            </w:r>
          </w:p>
        </w:tc>
      </w:tr>
      <w:tr w14:paraId="55957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80C298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读者类型缺失或取值不规范</w:t>
            </w:r>
          </w:p>
        </w:tc>
        <w:tc>
          <w:tcPr>
            <w:tcW w:w="2665" w:type="dxa"/>
          </w:tcPr>
          <w:p w14:paraId="479E3DE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无法匹配正确额度。</w:t>
            </w:r>
          </w:p>
        </w:tc>
        <w:tc>
          <w:tcPr>
            <w:tcW w:w="4139" w:type="dxa"/>
          </w:tcPr>
          <w:p w14:paraId="40C6513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定义允许类型、默认值和数据校验，并核查历史数据。</w:t>
            </w:r>
          </w:p>
        </w:tc>
      </w:tr>
      <w:tr w14:paraId="5321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5268E8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规则配置与需求数值不一致</w:t>
            </w:r>
          </w:p>
        </w:tc>
        <w:tc>
          <w:tcPr>
            <w:tcW w:w="2665" w:type="dxa"/>
          </w:tcPr>
          <w:p w14:paraId="618D9E9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超额借阅或错误拒绝。</w:t>
            </w:r>
          </w:p>
        </w:tc>
        <w:tc>
          <w:tcPr>
            <w:tcW w:w="4139" w:type="dxa"/>
          </w:tcPr>
          <w:p w14:paraId="1233317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对照 REQ-USER-11 检查配置并执行边界测试。</w:t>
            </w:r>
          </w:p>
        </w:tc>
      </w:tr>
      <w:tr w14:paraId="024AD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AE4316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仍使用硬编码统一额度</w:t>
            </w:r>
          </w:p>
        </w:tc>
        <w:tc>
          <w:tcPr>
            <w:tcW w:w="2665" w:type="dxa"/>
          </w:tcPr>
          <w:p w14:paraId="171C447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分级规则不生效。</w:t>
            </w:r>
          </w:p>
        </w:tc>
        <w:tc>
          <w:tcPr>
            <w:tcW w:w="4139" w:type="dxa"/>
          </w:tcPr>
          <w:p w14:paraId="4808B11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检查额度取值路径，确认按规则表读取。</w:t>
            </w:r>
          </w:p>
        </w:tc>
      </w:tr>
      <w:tr w14:paraId="11C14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522B87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并发借阅校验不足</w:t>
            </w:r>
          </w:p>
        </w:tc>
        <w:tc>
          <w:tcPr>
            <w:tcW w:w="2665" w:type="dxa"/>
          </w:tcPr>
          <w:p w14:paraId="1F08B12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并发操作可能突破额度。</w:t>
            </w:r>
          </w:p>
        </w:tc>
        <w:tc>
          <w:tcPr>
            <w:tcW w:w="4139" w:type="dxa"/>
          </w:tcPr>
          <w:p w14:paraId="220BE08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在提交环节做最终校验，并验证事务与并发控制。</w:t>
            </w:r>
          </w:p>
        </w:tc>
      </w:tr>
      <w:tr w14:paraId="377AB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7DDA35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审批、验证与基线版本不一致</w:t>
            </w:r>
          </w:p>
        </w:tc>
        <w:tc>
          <w:tcPr>
            <w:tcW w:w="2665" w:type="dxa"/>
          </w:tcPr>
          <w:p w14:paraId="311BABD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无法追溯真实变更状态。</w:t>
            </w:r>
          </w:p>
        </w:tc>
        <w:tc>
          <w:tcPr>
            <w:tcW w:w="4139" w:type="dxa"/>
          </w:tcPr>
          <w:p w14:paraId="67152FC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 CCB-001、IA-001、VR-001 和 V1.2 基线记录。</w:t>
            </w:r>
          </w:p>
        </w:tc>
      </w:tr>
    </w:tbl>
    <w:p w14:paraId="35F3C88E"/>
    <w:p w14:paraId="24256DA7">
      <w:pPr>
        <w:pStyle w:val="3"/>
      </w:pPr>
      <w:bookmarkStart w:id="18" w:name="_Toc13633"/>
      <w:r>
        <w:t>第六章 验收条件与验证追踪</w:t>
      </w:r>
      <w:bookmarkEnd w:id="18"/>
    </w:p>
    <w:p w14:paraId="53DB983E">
      <w:r>
        <w:rPr>
          <w:rFonts w:ascii="Times New Roman" w:hAnsi="Times New Roman" w:eastAsia="宋体"/>
          <w:b w:val="0"/>
          <w:sz w:val="20"/>
        </w:rPr>
        <w:t>以下为应验证的验收条件，不代表本文件本身提供了实际运行证据。VR-001 应记录真实执行结果、执行日期、执行人和证据位置。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3FC9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shd w:val="clear" w:color="auto" w:fill="D9EAF7"/>
          </w:tcPr>
          <w:p w14:paraId="37D18348"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验收编号</w:t>
            </w:r>
          </w:p>
        </w:tc>
        <w:tc>
          <w:tcPr>
            <w:tcW w:w="1417" w:type="dxa"/>
            <w:shd w:val="clear" w:color="auto" w:fill="D9EAF7"/>
          </w:tcPr>
          <w:p w14:paraId="30E50CC2"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关联需求</w:t>
            </w:r>
          </w:p>
        </w:tc>
        <w:tc>
          <w:tcPr>
            <w:tcW w:w="3969" w:type="dxa"/>
            <w:shd w:val="clear" w:color="auto" w:fill="D9EAF7"/>
          </w:tcPr>
          <w:p w14:paraId="3ADAE5C6"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验收条件</w:t>
            </w:r>
          </w:p>
        </w:tc>
        <w:tc>
          <w:tcPr>
            <w:tcW w:w="1757" w:type="dxa"/>
            <w:shd w:val="clear" w:color="auto" w:fill="D9EAF7"/>
          </w:tcPr>
          <w:p w14:paraId="4D6451E6">
            <w:pPr>
              <w:spacing w:after="0"/>
            </w:pPr>
            <w:r>
              <w:rPr>
                <w:rFonts w:ascii="Times New Roman" w:hAnsi="Times New Roman" w:eastAsia="宋体"/>
                <w:b/>
                <w:sz w:val="16"/>
              </w:rPr>
              <w:t>验证方式</w:t>
            </w:r>
          </w:p>
        </w:tc>
      </w:tr>
      <w:tr w14:paraId="02C8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2C9B8E4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CR-001-AC-01</w:t>
            </w:r>
          </w:p>
        </w:tc>
        <w:tc>
          <w:tcPr>
            <w:tcW w:w="1417" w:type="dxa"/>
          </w:tcPr>
          <w:p w14:paraId="170C099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REQ-USER-01</w:t>
            </w:r>
          </w:p>
        </w:tc>
        <w:tc>
          <w:tcPr>
            <w:tcW w:w="3969" w:type="dxa"/>
          </w:tcPr>
          <w:p w14:paraId="7C2B7D1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读者信息可记录读者类型、证号、姓名、邮箱和账号状态。</w:t>
            </w:r>
          </w:p>
        </w:tc>
        <w:tc>
          <w:tcPr>
            <w:tcW w:w="1757" w:type="dxa"/>
          </w:tcPr>
          <w:p w14:paraId="4A7B586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功能测试／字段检查</w:t>
            </w:r>
          </w:p>
        </w:tc>
      </w:tr>
      <w:tr w14:paraId="58A1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6A680D9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CR-001-AC-02</w:t>
            </w:r>
          </w:p>
        </w:tc>
        <w:tc>
          <w:tcPr>
            <w:tcW w:w="1417" w:type="dxa"/>
          </w:tcPr>
          <w:p w14:paraId="2FDA6B2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REQ-USER-11</w:t>
            </w:r>
          </w:p>
        </w:tc>
        <w:tc>
          <w:tcPr>
            <w:tcW w:w="3969" w:type="dxa"/>
          </w:tcPr>
          <w:p w14:paraId="50D68C4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本科生额度为 5 本，达到上限后拒绝第 6 本。</w:t>
            </w:r>
          </w:p>
        </w:tc>
        <w:tc>
          <w:tcPr>
            <w:tcW w:w="1757" w:type="dxa"/>
          </w:tcPr>
          <w:p w14:paraId="1960251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边界值测试</w:t>
            </w:r>
          </w:p>
        </w:tc>
      </w:tr>
      <w:tr w14:paraId="5B0A2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0777D56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CR-001-AC-03</w:t>
            </w:r>
          </w:p>
        </w:tc>
        <w:tc>
          <w:tcPr>
            <w:tcW w:w="1417" w:type="dxa"/>
          </w:tcPr>
          <w:p w14:paraId="5D7589F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REQ-USER-11</w:t>
            </w:r>
          </w:p>
        </w:tc>
        <w:tc>
          <w:tcPr>
            <w:tcW w:w="3969" w:type="dxa"/>
          </w:tcPr>
          <w:p w14:paraId="7428DF5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研究生额度为 10 本，达到上限后拒绝第 11 本。</w:t>
            </w:r>
          </w:p>
        </w:tc>
        <w:tc>
          <w:tcPr>
            <w:tcW w:w="1757" w:type="dxa"/>
          </w:tcPr>
          <w:p w14:paraId="35B9526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边界值测试</w:t>
            </w:r>
          </w:p>
        </w:tc>
      </w:tr>
      <w:tr w14:paraId="6F515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3468EC2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CR-001-AC-04</w:t>
            </w:r>
          </w:p>
        </w:tc>
        <w:tc>
          <w:tcPr>
            <w:tcW w:w="1417" w:type="dxa"/>
          </w:tcPr>
          <w:p w14:paraId="79952BC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REQ-USER-11</w:t>
            </w:r>
          </w:p>
        </w:tc>
        <w:tc>
          <w:tcPr>
            <w:tcW w:w="3969" w:type="dxa"/>
          </w:tcPr>
          <w:p w14:paraId="6114A80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教师额度为 15 本，达到上限后拒绝第 16 本。</w:t>
            </w:r>
          </w:p>
        </w:tc>
        <w:tc>
          <w:tcPr>
            <w:tcW w:w="1757" w:type="dxa"/>
          </w:tcPr>
          <w:p w14:paraId="4F3770B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边界值测试</w:t>
            </w:r>
          </w:p>
        </w:tc>
      </w:tr>
      <w:tr w14:paraId="0E00F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7DE5BE3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CR-001-AC-05</w:t>
            </w:r>
          </w:p>
        </w:tc>
        <w:tc>
          <w:tcPr>
            <w:tcW w:w="1417" w:type="dxa"/>
          </w:tcPr>
          <w:p w14:paraId="112830B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REQ-USER-11</w:t>
            </w:r>
          </w:p>
        </w:tc>
        <w:tc>
          <w:tcPr>
            <w:tcW w:w="3969" w:type="dxa"/>
          </w:tcPr>
          <w:p w14:paraId="47AD237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新增读者未指定类型时，默认类型为本科生。</w:t>
            </w:r>
          </w:p>
        </w:tc>
        <w:tc>
          <w:tcPr>
            <w:tcW w:w="1757" w:type="dxa"/>
          </w:tcPr>
          <w:p w14:paraId="1D5BF40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默认值测试</w:t>
            </w:r>
          </w:p>
        </w:tc>
      </w:tr>
      <w:tr w14:paraId="78426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263C066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CR-001-AC-06</w:t>
            </w:r>
          </w:p>
        </w:tc>
        <w:tc>
          <w:tcPr>
            <w:tcW w:w="1417" w:type="dxa"/>
          </w:tcPr>
          <w:p w14:paraId="1AD07F3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REQ-BORROW-04</w:t>
            </w:r>
          </w:p>
        </w:tc>
        <w:tc>
          <w:tcPr>
            <w:tcW w:w="3969" w:type="dxa"/>
          </w:tcPr>
          <w:p w14:paraId="60FAAC2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借书流程按读者类型从规则表读取额度。</w:t>
            </w:r>
          </w:p>
        </w:tc>
        <w:tc>
          <w:tcPr>
            <w:tcW w:w="1757" w:type="dxa"/>
          </w:tcPr>
          <w:p w14:paraId="1CD227E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规则读取／功能测试</w:t>
            </w:r>
          </w:p>
        </w:tc>
      </w:tr>
      <w:tr w14:paraId="11F61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18B604A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CR-001-AC-07</w:t>
            </w:r>
          </w:p>
        </w:tc>
        <w:tc>
          <w:tcPr>
            <w:tcW w:w="1417" w:type="dxa"/>
          </w:tcPr>
          <w:p w14:paraId="2EAA6D0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REQ-BORROW-04</w:t>
            </w:r>
          </w:p>
        </w:tc>
        <w:tc>
          <w:tcPr>
            <w:tcW w:w="3969" w:type="dxa"/>
          </w:tcPr>
          <w:p w14:paraId="2154046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超额借阅被拒绝，且不错误扣减可借数量。</w:t>
            </w:r>
          </w:p>
        </w:tc>
        <w:tc>
          <w:tcPr>
            <w:tcW w:w="1757" w:type="dxa"/>
          </w:tcPr>
          <w:p w14:paraId="4B825F5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边界测试／数据核查</w:t>
            </w:r>
          </w:p>
        </w:tc>
      </w:tr>
      <w:tr w14:paraId="3C11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2A7F64C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CR-001-AC-08</w:t>
            </w:r>
          </w:p>
        </w:tc>
        <w:tc>
          <w:tcPr>
            <w:tcW w:w="1417" w:type="dxa"/>
          </w:tcPr>
          <w:p w14:paraId="6C02C7A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REQ-BORROW-04</w:t>
            </w:r>
          </w:p>
        </w:tc>
        <w:tc>
          <w:tcPr>
            <w:tcW w:w="3969" w:type="dxa"/>
          </w:tcPr>
          <w:p w14:paraId="4B82575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借阅记录和可借数量更新保持事务原子性。</w:t>
            </w:r>
          </w:p>
        </w:tc>
        <w:tc>
          <w:tcPr>
            <w:tcW w:w="1757" w:type="dxa"/>
          </w:tcPr>
          <w:p w14:paraId="3C2C132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异常路径／事务测试</w:t>
            </w:r>
          </w:p>
        </w:tc>
      </w:tr>
      <w:tr w14:paraId="4F853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</w:tcPr>
          <w:p w14:paraId="053583A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CR-001-AC-09</w:t>
            </w:r>
          </w:p>
        </w:tc>
        <w:tc>
          <w:tcPr>
            <w:tcW w:w="1417" w:type="dxa"/>
          </w:tcPr>
          <w:p w14:paraId="7894E59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REQ-BORROW-04</w:t>
            </w:r>
          </w:p>
        </w:tc>
        <w:tc>
          <w:tcPr>
            <w:tcW w:w="3969" w:type="dxa"/>
          </w:tcPr>
          <w:p w14:paraId="1E91BF2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图书不可借或读者状态不合格时，仍按原规则拒绝借阅。</w:t>
            </w:r>
          </w:p>
        </w:tc>
        <w:tc>
          <w:tcPr>
            <w:tcW w:w="1757" w:type="dxa"/>
          </w:tcPr>
          <w:p w14:paraId="4724124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6"/>
              </w:rPr>
              <w:t>回归测试</w:t>
            </w:r>
          </w:p>
        </w:tc>
      </w:tr>
    </w:tbl>
    <w:p w14:paraId="3A5BD161"/>
    <w:p w14:paraId="0288294A">
      <w:pPr>
        <w:pStyle w:val="4"/>
      </w:pPr>
      <w:bookmarkStart w:id="19" w:name="_Toc3415"/>
      <w:r>
        <w:t>6.1 验证记录要求</w:t>
      </w:r>
      <w:bookmarkEnd w:id="19"/>
    </w:p>
    <w:p w14:paraId="42220271">
      <w:pPr>
        <w:numPr>
          <w:ilvl w:val="0"/>
          <w:numId w:val="10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VR-001 应记录用例编号、环境、前置数据、步骤、预期结果、实际结果、通过／失败状态及缺陷编号。</w:t>
      </w:r>
    </w:p>
    <w:p w14:paraId="5E478C93">
      <w:pPr>
        <w:numPr>
          <w:ilvl w:val="0"/>
          <w:numId w:val="10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尚未执行的测试应标记“未执行／待验证”，不能以预期结果代替实际结果。</w:t>
      </w:r>
    </w:p>
    <w:p w14:paraId="4027ED3E">
      <w:pPr>
        <w:numPr>
          <w:ilvl w:val="0"/>
          <w:numId w:val="10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如 VR-001 已完成，应确保文档中的已验证状态能由正式记录或证据支持。</w:t>
      </w:r>
    </w:p>
    <w:p w14:paraId="6342FF35">
      <w:pPr>
        <w:pStyle w:val="3"/>
      </w:pPr>
      <w:bookmarkStart w:id="20" w:name="_Toc278"/>
      <w:r>
        <w:t>第七章 审批、实施与基线管理</w:t>
      </w:r>
      <w:bookmarkEnd w:id="20"/>
    </w:p>
    <w:p w14:paraId="00F25BA1">
      <w:pPr>
        <w:pStyle w:val="4"/>
      </w:pPr>
      <w:bookmarkStart w:id="21" w:name="_Toc22150"/>
      <w:r>
        <w:t>7.1 关联记录</w:t>
      </w:r>
      <w:bookmarkEnd w:id="2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2235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9EAF7"/>
          </w:tcPr>
          <w:p w14:paraId="3F1A40DB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w="2438" w:type="dxa"/>
            <w:shd w:val="clear" w:color="auto" w:fill="D9EAF7"/>
          </w:tcPr>
          <w:p w14:paraId="355EEC56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记录名称</w:t>
            </w:r>
          </w:p>
        </w:tc>
        <w:tc>
          <w:tcPr>
            <w:tcW w:w="4649" w:type="dxa"/>
            <w:shd w:val="clear" w:color="auto" w:fill="D9EAF7"/>
          </w:tcPr>
          <w:p w14:paraId="50EC9C20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 w14:paraId="4C9A0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8E3055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CR-001</w:t>
            </w:r>
          </w:p>
        </w:tc>
        <w:tc>
          <w:tcPr>
            <w:tcW w:w="2438" w:type="dxa"/>
          </w:tcPr>
          <w:p w14:paraId="09A1BA4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需求变更请求单</w:t>
            </w:r>
          </w:p>
        </w:tc>
        <w:tc>
          <w:tcPr>
            <w:tcW w:w="4649" w:type="dxa"/>
          </w:tcPr>
          <w:p w14:paraId="58A9F23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描述变更原因、内容、优先级及关联需求。</w:t>
            </w:r>
          </w:p>
        </w:tc>
      </w:tr>
      <w:tr w14:paraId="43748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AFD852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IA-001</w:t>
            </w:r>
          </w:p>
        </w:tc>
        <w:tc>
          <w:tcPr>
            <w:tcW w:w="2438" w:type="dxa"/>
          </w:tcPr>
          <w:p w14:paraId="196B037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影响分析报告</w:t>
            </w:r>
          </w:p>
        </w:tc>
        <w:tc>
          <w:tcPr>
            <w:tcW w:w="4649" w:type="dxa"/>
          </w:tcPr>
          <w:p w14:paraId="52E8C40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评估需求、流程、设计、数据、测试、进度和风险影响。</w:t>
            </w:r>
          </w:p>
        </w:tc>
      </w:tr>
      <w:tr w14:paraId="78A2E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286B3B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CCB-001</w:t>
            </w:r>
          </w:p>
        </w:tc>
        <w:tc>
          <w:tcPr>
            <w:tcW w:w="2438" w:type="dxa"/>
          </w:tcPr>
          <w:p w14:paraId="450430B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CCB 审批记录</w:t>
            </w:r>
          </w:p>
        </w:tc>
        <w:tc>
          <w:tcPr>
            <w:tcW w:w="4649" w:type="dxa"/>
          </w:tcPr>
          <w:p w14:paraId="651006B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记录评审意见、审批结论、审批人、日期及附加条件。</w:t>
            </w:r>
          </w:p>
        </w:tc>
      </w:tr>
      <w:tr w14:paraId="005D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C62BB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VR-001</w:t>
            </w:r>
          </w:p>
        </w:tc>
        <w:tc>
          <w:tcPr>
            <w:tcW w:w="2438" w:type="dxa"/>
          </w:tcPr>
          <w:p w14:paraId="7BE5C04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验证记录</w:t>
            </w:r>
          </w:p>
        </w:tc>
        <w:tc>
          <w:tcPr>
            <w:tcW w:w="4649" w:type="dxa"/>
          </w:tcPr>
          <w:p w14:paraId="1762C08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记录验收用例的实际执行结果、缺陷及验证结论。</w:t>
            </w:r>
          </w:p>
        </w:tc>
      </w:tr>
    </w:tbl>
    <w:p w14:paraId="39154662"/>
    <w:p w14:paraId="203B3A07">
      <w:pPr>
        <w:pStyle w:val="4"/>
      </w:pPr>
      <w:bookmarkStart w:id="22" w:name="_Toc5665"/>
      <w:r>
        <w:t>7.2 基线更新内容</w:t>
      </w:r>
      <w:bookmarkEnd w:id="22"/>
    </w:p>
    <w:p w14:paraId="1CE5A0E0">
      <w:pPr>
        <w:numPr>
          <w:ilvl w:val="0"/>
          <w:numId w:val="11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需求池：新增 REQ-USER-11，修订 REQ-USER-01、REQ-BORROW-04，并记录为已基线。</w:t>
      </w:r>
    </w:p>
    <w:p w14:paraId="3E5B41A2">
      <w:pPr>
        <w:numPr>
          <w:ilvl w:val="0"/>
          <w:numId w:val="11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需求规格说明书：更新正文、优先级、来源、验收条件和变更历史。</w:t>
      </w:r>
    </w:p>
    <w:p w14:paraId="52C7BC4D">
      <w:pPr>
        <w:numPr>
          <w:ilvl w:val="0"/>
          <w:numId w:val="11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需求跟踪矩阵：关联 CR-001、三个需求 ID、设计项、实现项和测试用例。</w:t>
      </w:r>
    </w:p>
    <w:p w14:paraId="729B905B">
      <w:pPr>
        <w:numPr>
          <w:ilvl w:val="0"/>
          <w:numId w:val="11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测试文档：补充额度边界、默认类型、额度读取和事务一致性用例。</w:t>
      </w:r>
    </w:p>
    <w:p w14:paraId="75A82005">
      <w:pPr>
        <w:numPr>
          <w:ilvl w:val="0"/>
          <w:numId w:val="11"/>
        </w:numPr>
        <w:ind w:left="425" w:leftChars="0" w:hanging="425" w:firstLineChars="0"/>
      </w:pPr>
      <w:r>
        <w:rPr>
          <w:rFonts w:ascii="Times New Roman" w:hAnsi="Times New Roman" w:eastAsia="宋体"/>
          <w:b w:val="0"/>
          <w:sz w:val="20"/>
        </w:rPr>
        <w:t>版本管理：保留 V1.0 历史内容，记录 V1.</w:t>
      </w:r>
      <w:r>
        <w:rPr>
          <w:rFonts w:hint="eastAsia"/>
          <w:b w:val="0"/>
          <w:sz w:val="20"/>
          <w:lang w:val="en-US" w:eastAsia="zh-CN"/>
        </w:rPr>
        <w:t>1</w:t>
      </w:r>
      <w:r>
        <w:rPr>
          <w:rFonts w:ascii="Times New Roman" w:hAnsi="Times New Roman" w:eastAsia="宋体"/>
          <w:b w:val="0"/>
          <w:sz w:val="20"/>
        </w:rPr>
        <w:t>生效版本及审批、影响分析和验证依据。</w:t>
      </w:r>
    </w:p>
    <w:p w14:paraId="5301ED17">
      <w:pPr>
        <w:pStyle w:val="3"/>
      </w:pPr>
      <w:bookmarkStart w:id="23" w:name="_Toc25018"/>
      <w:r>
        <w:t>第八章 变更关闭条件与文档维护</w:t>
      </w:r>
      <w:bookmarkEnd w:id="23"/>
    </w:p>
    <w:p w14:paraId="2228AAED">
      <w:pPr>
        <w:pStyle w:val="4"/>
      </w:pPr>
      <w:bookmarkStart w:id="24" w:name="_Toc16675"/>
      <w:r>
        <w:t>8.1 关闭条件</w:t>
      </w:r>
      <w:bookmarkEnd w:id="24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1FD93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9EAF7"/>
          </w:tcPr>
          <w:p w14:paraId="5831483B"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检查项</w:t>
            </w:r>
          </w:p>
        </w:tc>
        <w:tc>
          <w:tcPr>
            <w:tcW w:w="4819" w:type="dxa"/>
            <w:shd w:val="clear" w:color="auto" w:fill="D9EAF7"/>
          </w:tcPr>
          <w:p w14:paraId="55AA013A"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关闭标准</w:t>
            </w:r>
          </w:p>
        </w:tc>
        <w:tc>
          <w:tcPr>
            <w:tcW w:w="1984" w:type="dxa"/>
            <w:shd w:val="clear" w:color="auto" w:fill="D9EAF7"/>
          </w:tcPr>
          <w:p w14:paraId="5AD43182"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证据来源</w:t>
            </w:r>
          </w:p>
        </w:tc>
      </w:tr>
      <w:tr w14:paraId="0897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B1B147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审批完成</w:t>
            </w:r>
          </w:p>
        </w:tc>
        <w:tc>
          <w:tcPr>
            <w:tcW w:w="4819" w:type="dxa"/>
          </w:tcPr>
          <w:p w14:paraId="3538225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CCB-001 有明确批准结论。</w:t>
            </w:r>
          </w:p>
        </w:tc>
        <w:tc>
          <w:tcPr>
            <w:tcW w:w="1984" w:type="dxa"/>
          </w:tcPr>
          <w:p w14:paraId="52A2F26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CCB-001</w:t>
            </w:r>
          </w:p>
        </w:tc>
      </w:tr>
      <w:tr w14:paraId="70FE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4D717F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影响分析完成</w:t>
            </w:r>
          </w:p>
        </w:tc>
        <w:tc>
          <w:tcPr>
            <w:tcW w:w="4819" w:type="dxa"/>
          </w:tcPr>
          <w:p w14:paraId="3F048BB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已识别需求、流程、数据、实现、测试与风险影响。</w:t>
            </w:r>
          </w:p>
        </w:tc>
        <w:tc>
          <w:tcPr>
            <w:tcW w:w="1984" w:type="dxa"/>
          </w:tcPr>
          <w:p w14:paraId="22C1D72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IA-001</w:t>
            </w:r>
          </w:p>
        </w:tc>
      </w:tr>
      <w:tr w14:paraId="3D5A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EE38DF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需求更新完成</w:t>
            </w:r>
          </w:p>
        </w:tc>
        <w:tc>
          <w:tcPr>
            <w:tcW w:w="4819" w:type="dxa"/>
          </w:tcPr>
          <w:p w14:paraId="49FEA56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两条需求已修订，一条需求已新增并纳入 V1.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b w:val="0"/>
                <w:sz w:val="17"/>
              </w:rPr>
              <w:t>。</w:t>
            </w:r>
          </w:p>
        </w:tc>
        <w:tc>
          <w:tcPr>
            <w:tcW w:w="1984" w:type="dxa"/>
          </w:tcPr>
          <w:p w14:paraId="4EEEED4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需求池／SRS</w:t>
            </w:r>
          </w:p>
        </w:tc>
      </w:tr>
      <w:tr w14:paraId="2944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83E653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验证完成</w:t>
            </w:r>
          </w:p>
        </w:tc>
        <w:tc>
          <w:tcPr>
            <w:tcW w:w="4819" w:type="dxa"/>
          </w:tcPr>
          <w:p w14:paraId="713A314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真实测试结果已记录；未通过项已处理或明确接受风险。</w:t>
            </w:r>
          </w:p>
        </w:tc>
        <w:tc>
          <w:tcPr>
            <w:tcW w:w="1984" w:type="dxa"/>
          </w:tcPr>
          <w:p w14:paraId="1503C0F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VR-001</w:t>
            </w:r>
          </w:p>
        </w:tc>
      </w:tr>
      <w:tr w14:paraId="53B8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B38D9A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追踪与配置完成</w:t>
            </w:r>
          </w:p>
        </w:tc>
        <w:tc>
          <w:tcPr>
            <w:tcW w:w="4819" w:type="dxa"/>
          </w:tcPr>
          <w:p w14:paraId="588B2CE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需求、设计、实现、测试和版本记录可互相追踪。</w:t>
            </w:r>
          </w:p>
        </w:tc>
        <w:tc>
          <w:tcPr>
            <w:tcW w:w="1984" w:type="dxa"/>
          </w:tcPr>
          <w:p w14:paraId="08F9279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需求跟踪矩阵／版本记录</w:t>
            </w:r>
          </w:p>
        </w:tc>
      </w:tr>
    </w:tbl>
    <w:p w14:paraId="1C553EF3"/>
    <w:p w14:paraId="1F83F64B">
      <w:pPr>
        <w:pStyle w:val="4"/>
      </w:pPr>
      <w:bookmarkStart w:id="25" w:name="_Toc30718"/>
      <w:r>
        <w:t>8.2 后续维护要求</w:t>
      </w:r>
      <w:bookmarkEnd w:id="25"/>
    </w:p>
    <w:p w14:paraId="47FB1D93">
      <w:r>
        <w:rPr>
          <w:rFonts w:ascii="Times New Roman" w:hAnsi="Times New Roman" w:eastAsia="宋体"/>
          <w:b w:val="0"/>
          <w:sz w:val="20"/>
        </w:rPr>
        <w:t>未来若增加读者类型、调整额度数值、修改默认类型或改变规则配置方式，应重新评估对读者信息、借书登记、数据、权限和测试的影响，并按流程提交新变更请求。不得直接覆盖 CR-001 的历史记录。</w:t>
      </w:r>
    </w:p>
    <w:p w14:paraId="578096E7">
      <w:pPr>
        <w:pStyle w:val="4"/>
      </w:pPr>
      <w:bookmarkStart w:id="26" w:name="_Toc16664"/>
      <w:r>
        <w:t>8.3 文档版本记录</w:t>
      </w:r>
      <w:bookmarkEnd w:id="2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7781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9EAF7"/>
          </w:tcPr>
          <w:p w14:paraId="473CE9D0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文档版本</w:t>
            </w:r>
          </w:p>
        </w:tc>
        <w:tc>
          <w:tcPr>
            <w:tcW w:w="5386" w:type="dxa"/>
            <w:shd w:val="clear" w:color="auto" w:fill="D9EAF7"/>
          </w:tcPr>
          <w:p w14:paraId="2B6180D9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修改内容</w:t>
            </w:r>
          </w:p>
        </w:tc>
        <w:tc>
          <w:tcPr>
            <w:tcW w:w="1984" w:type="dxa"/>
            <w:shd w:val="clear" w:color="auto" w:fill="D9EAF7"/>
          </w:tcPr>
          <w:p w14:paraId="47287F7C">
            <w:pPr>
              <w:spacing w:after="0"/>
            </w:pPr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 w14:paraId="79F4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527B0E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V0.1</w:t>
            </w:r>
          </w:p>
        </w:tc>
        <w:tc>
          <w:tcPr>
            <w:tcW w:w="5386" w:type="dxa"/>
          </w:tcPr>
          <w:p w14:paraId="3E3392A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依据 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需求池的</w:t>
            </w:r>
            <w:r>
              <w:rPr>
                <w:rFonts w:ascii="Times New Roman" w:hAnsi="Times New Roman" w:eastAsia="宋体"/>
                <w:b w:val="0"/>
                <w:sz w:val="18"/>
              </w:rPr>
              <w:t>V1.0 与 V1.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需求差异整理初稿。</w:t>
            </w:r>
          </w:p>
        </w:tc>
        <w:tc>
          <w:tcPr>
            <w:tcW w:w="1984" w:type="dxa"/>
          </w:tcPr>
          <w:p w14:paraId="080021F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初稿</w:t>
            </w:r>
          </w:p>
        </w:tc>
      </w:tr>
      <w:tr w14:paraId="29573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E99CA7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w="5386" w:type="dxa"/>
          </w:tcPr>
          <w:p w14:paraId="4B275AF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关联 CCB-001、IA-001、VR-001，记录已批准并纳入 V1.2 基线。</w:t>
            </w:r>
          </w:p>
        </w:tc>
        <w:tc>
          <w:tcPr>
            <w:tcW w:w="1984" w:type="dxa"/>
          </w:tcPr>
          <w:p w14:paraId="78D3878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按现有记录</w:t>
            </w:r>
          </w:p>
        </w:tc>
      </w:tr>
      <w:tr w14:paraId="5D65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A07699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V1.1</w:t>
            </w:r>
          </w:p>
        </w:tc>
        <w:tc>
          <w:tcPr>
            <w:tcW w:w="5386" w:type="dxa"/>
          </w:tcPr>
          <w:p w14:paraId="22064DE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补充背景、规则细节、前后差异、风险、验收条件、追踪关系与关闭标准。</w:t>
            </w:r>
          </w:p>
        </w:tc>
        <w:tc>
          <w:tcPr>
            <w:tcW w:w="1984" w:type="dxa"/>
          </w:tcPr>
          <w:p w14:paraId="4F91ECE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丰富完善稿，待团队复核</w:t>
            </w:r>
          </w:p>
        </w:tc>
      </w:tr>
    </w:tbl>
    <w:p w14:paraId="61102080"/>
    <w:p w14:paraId="7C45C669"/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54CF3">
    <w:pPr>
      <w:pStyle w:val="24"/>
      <w:jc w:val="center"/>
    </w:pPr>
    <w:r>
      <w:rPr>
        <w:rFonts w:ascii="Times New Roman" w:hAnsi="Times New Roman" w:eastAsia="宋体"/>
        <w:b w:val="0"/>
        <w:sz w:val="17"/>
      </w:rPr>
      <w:t>图书借阅和归还登记系统｜CR-001 需求变更文档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86D52B"/>
    <w:multiLevelType w:val="singleLevel"/>
    <w:tmpl w:val="D186D52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A35E8DC"/>
    <w:multiLevelType w:val="singleLevel"/>
    <w:tmpl w:val="4A35E8D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56BDDD55"/>
    <w:multiLevelType w:val="singleLevel"/>
    <w:tmpl w:val="56BDDD5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6D7BA2E1"/>
    <w:multiLevelType w:val="singleLevel"/>
    <w:tmpl w:val="6D7BA2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7F42335D"/>
    <w:multiLevelType w:val="singleLevel"/>
    <w:tmpl w:val="7F42335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10"/>
  </w:num>
  <w:num w:numId="9">
    <w:abstractNumId w:val="8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C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3923</Words>
  <Characters>4739</Characters>
  <Lines>0</Lines>
  <Paragraphs>0</Paragraphs>
  <TotalTime>9</TotalTime>
  <ScaleCrop>false</ScaleCrop>
  <LinksUpToDate>false</LinksUpToDate>
  <CharactersWithSpaces>4931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图书借阅和归还登记系统项目组</dc:creator>
  <dc:description>generated by python-docx</dc:description>
  <cp:lastModifiedBy>橙子</cp:lastModifiedBy>
  <dcterms:modified xsi:type="dcterms:W3CDTF">2026-10-23T08:20:33Z</dcterms:modified>
  <dc:subject>新增 REQ-USER-11，修订 REQ-USER-01 与 REQ-BORROW-04</dc:subject>
  <dc:title>图书借阅系统需求变更文档 CR-001 丰富版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eyJoZGlkIjoiMDllMjdhOWMxZDdmMGExNzM3YmE1MjZhN2VmNGFlOWYiLCJ1c2VySWQiOiI4MTIzOTM3NDgifQ==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ADBB5A00B8F8464D85AC7820DFB2E491_12</vt:lpwstr>
  </property>
</Properties>
</file>