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75AC" w14:textId="77777777" w:rsidR="00E77CEB" w:rsidRDefault="00000000">
      <w:pPr>
        <w:pStyle w:val="Heading1"/>
      </w:pPr>
      <w:bookmarkStart w:id="0" w:name="figure-1-weather-conditions"/>
      <w:r>
        <w:t>1. Figure 1: Weather Conditions</w:t>
      </w:r>
    </w:p>
    <w:p w14:paraId="69440EAA" w14:textId="77777777" w:rsidR="00E77CEB" w:rsidRDefault="00000000">
      <w:pPr>
        <w:pStyle w:val="FirstParagraph"/>
      </w:pPr>
      <w:r>
        <w:rPr>
          <w:noProof/>
        </w:rPr>
        <w:drawing>
          <wp:inline distT="0" distB="0" distL="0" distR="0" wp14:anchorId="613F42C2" wp14:editId="52F109AE">
            <wp:extent cx="5334000" cy="1992138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_1_weather.tif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2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F37F06" w14:textId="77777777" w:rsidR="00E77CEB" w:rsidRDefault="00000000">
      <w:pPr>
        <w:pStyle w:val="BodyText"/>
      </w:pPr>
      <w:r>
        <w:rPr>
          <w:b/>
          <w:bCs/>
        </w:rPr>
        <w:t>Figure 1.</w:t>
      </w:r>
      <w:r>
        <w:t xml:space="preserve"> Cumulative precipitation (a) and growing degree days (b) for the 2023 and 2024 study years compared to a 34-year historical envelope. The gray shaded region represents the minimum to maximum range across historical years; the black dotted-dashed line shows the 34-year mean. Red solid line = 2023 (drought year); blue dashed line = 2024 (near-normal year). These conditions provide context for interpreting subsequent treatment effects on soil microclimate, nitrogen cycling, and crop productivity.</w:t>
      </w:r>
    </w:p>
    <w:p w14:paraId="23CA6D96" w14:textId="77777777" w:rsidR="00E77CEB" w:rsidRDefault="006E24CE">
      <w:bookmarkStart w:id="1" w:name="statistical-approach-for-figure-1"/>
      <w:r>
        <w:rPr>
          <w:noProof/>
        </w:rPr>
        <w:pict w14:anchorId="2BBE7453">
          <v:rect id="_x0000_i1028" alt="" style="width:468pt;height:.05pt;mso-width-percent:0;mso-height-percent:0;mso-width-percent:0;mso-height-percent:0" o:hralign="center" o:hrstd="t" o:hr="t"/>
        </w:pict>
      </w:r>
    </w:p>
    <w:p w14:paraId="27DAC625" w14:textId="77777777" w:rsidR="00E77CEB" w:rsidRDefault="00000000">
      <w:pPr>
        <w:pStyle w:val="Heading1"/>
      </w:pPr>
      <w:bookmarkStart w:id="2" w:name="figure-2-soil-microclimate"/>
      <w:bookmarkEnd w:id="0"/>
      <w:bookmarkEnd w:id="1"/>
      <w:r>
        <w:lastRenderedPageBreak/>
        <w:t>2. Figure 2: Soil Microclimate</w:t>
      </w:r>
    </w:p>
    <w:p w14:paraId="0EF04B31" w14:textId="77777777" w:rsidR="00E77CEB" w:rsidRDefault="00000000">
      <w:pPr>
        <w:pStyle w:val="FirstParagraph"/>
      </w:pPr>
      <w:r>
        <w:rPr>
          <w:noProof/>
        </w:rPr>
        <w:drawing>
          <wp:inline distT="0" distB="0" distL="0" distR="0" wp14:anchorId="5E47E2E3" wp14:editId="06D803FF">
            <wp:extent cx="5334000" cy="53340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_2_microclimate.tif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150CC" w14:textId="77777777" w:rsidR="00E77CEB" w:rsidRDefault="00000000">
      <w:pPr>
        <w:pStyle w:val="BodyText"/>
      </w:pPr>
      <w:r>
        <w:rPr>
          <w:b/>
          <w:bCs/>
        </w:rPr>
        <w:t>Figure 2.</w:t>
      </w:r>
      <w:r>
        <w:t xml:space="preserve"> Soil temperature and volumetric water content at 5 cm depth under sorghum-only (yellow) and sorghum + winter cover crop (green) treatments in 2023 (panels a–b for temperature, c–d for moisture) and 2024 (panels b and d, respectively). Time-series panels (a–d) show daily means with colored status bars above each panel flagging dates with significant treatment differences: black = </w:t>
      </w:r>
      <w:r>
        <w:rPr>
          <w:i/>
          <w:iCs/>
        </w:rPr>
        <w:t>p</w:t>
      </w:r>
      <w:r>
        <w:t xml:space="preserve"> &lt; 0.05, gray = non-significant, light gray = no data. Difference panels (e–f) show boxplots of daily treatment differences (WCC minus Sorghum) by year, with the horizontal dashed line at zero representing no effect. A bold letter above a boxplot indicates that the mean daily difference was significantly different from zero in that year (one-sample </w:t>
      </w:r>
      <w:r>
        <w:rPr>
          <w:i/>
          <w:iCs/>
        </w:rPr>
        <w:t>t</w:t>
      </w:r>
      <w:r>
        <w:t xml:space="preserve">-test, </w:t>
      </w:r>
      <w:r>
        <w:rPr>
          <w:i/>
          <w:iCs/>
        </w:rPr>
        <w:t>p</w:t>
      </w:r>
      <w:r>
        <w:t xml:space="preserve"> &lt; 0.05).</w:t>
      </w:r>
    </w:p>
    <w:p w14:paraId="052F68A2" w14:textId="77777777" w:rsidR="00E77CEB" w:rsidRDefault="006E24CE">
      <w:bookmarkStart w:id="3" w:name="statistical-approach-for-figure-2"/>
      <w:r>
        <w:rPr>
          <w:noProof/>
        </w:rPr>
        <w:pict w14:anchorId="00D0812E">
          <v:rect id="_x0000_i1027" alt="" style="width:468pt;height:.05pt;mso-width-percent:0;mso-height-percent:0;mso-width-percent:0;mso-height-percent:0" o:hralign="center" o:hrstd="t" o:hr="t"/>
        </w:pict>
      </w:r>
    </w:p>
    <w:p w14:paraId="06CDCBC4" w14:textId="77777777" w:rsidR="00E77CEB" w:rsidRDefault="00000000">
      <w:pPr>
        <w:pStyle w:val="Heading1"/>
      </w:pPr>
      <w:bookmarkStart w:id="4" w:name="figure-3-nitrate-leaching"/>
      <w:bookmarkEnd w:id="2"/>
      <w:bookmarkEnd w:id="3"/>
      <w:r>
        <w:lastRenderedPageBreak/>
        <w:t>3. Figure 3: Nitrate Leaching</w:t>
      </w:r>
    </w:p>
    <w:p w14:paraId="200EE3E7" w14:textId="77777777" w:rsidR="00E77CEB" w:rsidRDefault="00000000">
      <w:pPr>
        <w:pStyle w:val="FirstParagraph"/>
      </w:pPr>
      <w:r>
        <w:rPr>
          <w:noProof/>
        </w:rPr>
        <w:drawing>
          <wp:inline distT="0" distB="0" distL="0" distR="0" wp14:anchorId="052CE4C2" wp14:editId="2650A5F1">
            <wp:extent cx="5334000" cy="35560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figure_3_leaching_spacing.tif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49DC6F" w14:textId="77777777" w:rsidR="00E77CEB" w:rsidRDefault="00000000">
      <w:pPr>
        <w:pStyle w:val="BodyText"/>
      </w:pPr>
      <w:r>
        <w:rPr>
          <w:b/>
          <w:bCs/>
        </w:rPr>
        <w:t>Figure 3.</w:t>
      </w:r>
      <w:r>
        <w:t xml:space="preserve"> Daily and cumulative leached nitrogen through tile drainage under sorghum-only (yellow) and sorghum + winter cover crop (green) treatments. Panels (a–b) show daily leached nitrogen with precipitation (blue bars) overlaid; asterisks (</w:t>
      </w:r>
      <w:r>
        <w:rPr>
          <w:i/>
          <w:iCs/>
        </w:rPr>
        <w:t>) indicate dates with significant treatment differences (</w:t>
      </w:r>
      <w:r>
        <w:t xml:space="preserve">p* &lt; 0.05). Panel (c) shows the distribution of daily treatment differences (WCC minus Sorghum) by year; differences below zero indicate the cover crop reduced leaching. A bold letter above a boxplot indicates that the mean daily difference was significantly different from zero in that year (one-sample </w:t>
      </w:r>
      <w:r>
        <w:rPr>
          <w:i/>
          <w:iCs/>
        </w:rPr>
        <w:t>t</w:t>
      </w:r>
      <w:r>
        <w:t xml:space="preserve">-test, </w:t>
      </w:r>
      <w:r>
        <w:rPr>
          <w:i/>
          <w:iCs/>
        </w:rPr>
        <w:t>p</w:t>
      </w:r>
      <w:r>
        <w:t xml:space="preserve"> &lt; 0.05). Panels (d–e) show cumulative leached nitrogen across each year. Panel (f) compares total annual cumulative leaching pooled across both years, with letters indicating groups that differ significantly at </w:t>
      </w:r>
      <w:r>
        <w:rPr>
          <w:i/>
          <w:iCs/>
        </w:rPr>
        <w:t>p</w:t>
      </w:r>
      <w:r>
        <w:t xml:space="preserve"> &lt; 0.05.</w:t>
      </w:r>
    </w:p>
    <w:p w14:paraId="63AB4BBF" w14:textId="77777777" w:rsidR="00E77CEB" w:rsidRDefault="006E24CE">
      <w:bookmarkStart w:id="5" w:name="statistical-approach-for-figure-3"/>
      <w:r>
        <w:rPr>
          <w:noProof/>
        </w:rPr>
        <w:pict w14:anchorId="289F1734">
          <v:rect id="_x0000_i1026" alt="" style="width:468pt;height:.05pt;mso-width-percent:0;mso-height-percent:0;mso-width-percent:0;mso-height-percent:0" o:hralign="center" o:hrstd="t" o:hr="t"/>
        </w:pict>
      </w:r>
    </w:p>
    <w:p w14:paraId="3D85CC4F" w14:textId="77777777" w:rsidR="00E77CEB" w:rsidRDefault="00000000">
      <w:pPr>
        <w:pStyle w:val="Heading1"/>
      </w:pPr>
      <w:bookmarkStart w:id="6" w:name="figure-4-nitrous-oxide-emissions"/>
      <w:bookmarkEnd w:id="4"/>
      <w:bookmarkEnd w:id="5"/>
      <w:r>
        <w:lastRenderedPageBreak/>
        <w:t>4. Figure 4: Nitrous Oxide Emissions</w:t>
      </w:r>
    </w:p>
    <w:p w14:paraId="50FBB815" w14:textId="77777777" w:rsidR="00E77CEB" w:rsidRDefault="00000000">
      <w:pPr>
        <w:pStyle w:val="FirstParagraph"/>
      </w:pPr>
      <w:r>
        <w:rPr>
          <w:noProof/>
        </w:rPr>
        <w:drawing>
          <wp:inline distT="0" distB="0" distL="0" distR="0" wp14:anchorId="71D4FDE1" wp14:editId="131CA5E4">
            <wp:extent cx="5334000" cy="35560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ure_4_n2o_spacing.tif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1DF1C" w14:textId="77777777" w:rsidR="00E77CEB" w:rsidRDefault="00000000">
      <w:pPr>
        <w:pStyle w:val="BodyText"/>
      </w:pPr>
      <w:r>
        <w:rPr>
          <w:b/>
          <w:bCs/>
        </w:rPr>
        <w:t>Figure 4.</w:t>
      </w:r>
      <w:r>
        <w:t xml:space="preserve"> Daily and cumulative nitrous oxide (N₂O) fluxes under sorghum-only (yellow) and sorghum + winter cover crop (green) treatments. Panels (a–b) show daily N₂O fluxes with precipitation overlay; asterisks (</w:t>
      </w:r>
      <w:r>
        <w:rPr>
          <w:i/>
          <w:iCs/>
        </w:rPr>
        <w:t>) flag dates with significant differences (</w:t>
      </w:r>
      <w:r>
        <w:t xml:space="preserve">p* &lt; 0.05). Panel (c) displays the distribution of daily treatment differences (WCC minus Sorghum) by year. A bold letter above a boxplot indicates that the mean daily difference was significantly different from zero in that year (one-sample </w:t>
      </w:r>
      <w:r>
        <w:rPr>
          <w:i/>
          <w:iCs/>
        </w:rPr>
        <w:t>t</w:t>
      </w:r>
      <w:r>
        <w:t xml:space="preserve">-test, </w:t>
      </w:r>
      <w:r>
        <w:rPr>
          <w:i/>
          <w:iCs/>
        </w:rPr>
        <w:t>p</w:t>
      </w:r>
      <w:r>
        <w:t xml:space="preserve"> &lt; 0.05). Panels (d–e) show cumulative N₂O across each year. Panel (f) compares total annual cumulative N₂O pooled across years, with letters indicating significantly different groups at </w:t>
      </w:r>
      <w:r>
        <w:rPr>
          <w:i/>
          <w:iCs/>
        </w:rPr>
        <w:t>p</w:t>
      </w:r>
      <w:r>
        <w:t xml:space="preserve"> &lt; 0.05.</w:t>
      </w:r>
    </w:p>
    <w:p w14:paraId="41EC25A0" w14:textId="77777777" w:rsidR="00E77CEB" w:rsidRDefault="006E24CE">
      <w:bookmarkStart w:id="7" w:name="statistical-approach-for-figure-4"/>
      <w:r>
        <w:rPr>
          <w:noProof/>
        </w:rPr>
        <w:pict w14:anchorId="1A3D79B7">
          <v:rect id="_x0000_i1025" alt="" style="width:468pt;height:.05pt;mso-width-percent:0;mso-height-percent:0;mso-width-percent:0;mso-height-percent:0" o:hralign="center" o:hrstd="t" o:hr="t"/>
        </w:pict>
      </w:r>
    </w:p>
    <w:p w14:paraId="1B6C4F4F" w14:textId="77777777" w:rsidR="00E77CEB" w:rsidRDefault="00000000">
      <w:pPr>
        <w:pStyle w:val="Heading1"/>
      </w:pPr>
      <w:bookmarkStart w:id="8" w:name="figure-5-biomass-yields"/>
      <w:bookmarkEnd w:id="6"/>
      <w:bookmarkEnd w:id="7"/>
      <w:r>
        <w:lastRenderedPageBreak/>
        <w:t>5. Figure 5: Biomass Yields</w:t>
      </w:r>
    </w:p>
    <w:p w14:paraId="252B378F" w14:textId="77777777" w:rsidR="00E77CEB" w:rsidRDefault="00000000">
      <w:pPr>
        <w:pStyle w:val="FirstParagraph"/>
      </w:pPr>
      <w:r>
        <w:rPr>
          <w:noProof/>
        </w:rPr>
        <w:drawing>
          <wp:inline distT="0" distB="0" distL="0" distR="0" wp14:anchorId="4E0EBF94" wp14:editId="26D88103">
            <wp:extent cx="5334000" cy="3065427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_5_biomass.tif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F22B9" w14:textId="77777777" w:rsidR="00E77CEB" w:rsidRDefault="00000000">
      <w:pPr>
        <w:pStyle w:val="BodyText"/>
      </w:pPr>
      <w:r>
        <w:rPr>
          <w:b/>
          <w:bCs/>
        </w:rPr>
        <w:t>Figure 5.</w:t>
      </w:r>
      <w:r>
        <w:t xml:space="preserve"> Sorghum and cereal rye oven-dried biomass (Mg ha⁻¹, 0% moisture) under sorghum-only and sorghum + winter cover crop (Sorghum + WCC) treatments in 2023 (a) and 2024 (b). Sorghum bars (wider, background) and cereal rye bars (narrower, foreground overlay) both originate at zero; rye biomass in the Sorghum + WCC treatment is additive to, not included within, the sorghum bar. Error bars represent 95% confidence intervals. Letters above sorghum bars indicate groups that differ significantly at </w:t>
      </w:r>
      <w:r>
        <w:rPr>
          <w:i/>
          <w:iCs/>
        </w:rPr>
        <w:t>p</w:t>
      </w:r>
      <w:r>
        <w:t xml:space="preserve"> &lt; 0.05; groups sharing the same letter are not significantly different.</w:t>
      </w:r>
    </w:p>
    <w:p w14:paraId="688C1645" w14:textId="20C220CD" w:rsidR="00E77CEB" w:rsidRDefault="00E77CEB">
      <w:pPr>
        <w:pStyle w:val="FirstParagraph"/>
      </w:pPr>
      <w:bookmarkStart w:id="9" w:name="statistical-approach-for-figure-5"/>
      <w:bookmarkEnd w:id="8"/>
      <w:bookmarkEnd w:id="9"/>
    </w:p>
    <w:sectPr w:rsidR="00E77C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C033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4582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CEB"/>
    <w:rsid w:val="006E24CE"/>
    <w:rsid w:val="00813415"/>
    <w:rsid w:val="00C405F9"/>
    <w:rsid w:val="00E7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3FA5"/>
  <w15:docId w15:val="{458F9B8A-8EDB-2F48-9919-B606229F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theme" Target="theme/theme1.xml"/><Relationship Id="rId5" Type="http://schemas.openxmlformats.org/officeDocument/2006/relationships/image" Target="media/image1.tif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531</Words>
  <Characters>3033</Characters>
  <Application>Microsoft Office Word</Application>
  <DocSecurity>0</DocSecurity>
  <Lines>51</Lines>
  <Paragraphs>13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Figures with Captions and Statistical Annotations</dc:title>
  <dc:creator>Jared Flater et al.</dc:creator>
  <cp:keywords/>
  <cp:lastModifiedBy>Flater, Jared S [AGRON]</cp:lastModifiedBy>
  <cp:revision>2</cp:revision>
  <dcterms:created xsi:type="dcterms:W3CDTF">2026-03-06T19:41:00Z</dcterms:created>
  <dcterms:modified xsi:type="dcterms:W3CDTF">2026-03-06T19:49:00Z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2026-03-06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