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95.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10.png" ContentType="image/png"/>
  <Override PartName="/word/media/rId73.png" ContentType="image/png"/>
  <Override PartName="/word/media/rId49.png" ContentType="image/png"/>
  <Override PartName="/word/media/rId118.png" ContentType="image/png"/>
  <Override PartName="/word/media/rId114.png" ContentType="image/png"/>
  <Override PartName="/word/media/rId102.png" ContentType="image/png"/>
  <Override PartName="/word/media/rId106.png" ContentType="image/png"/>
  <Override PartName="/word/media/rId87.png" ContentType="image/png"/>
  <Override PartName="/word/media/rId9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clarifies some of the complexities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23"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100"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9"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bookmarkStart w:id="81" w:name="fig-heatmaps-coding"/>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(a)</w:t>
                  </w:r>
                </w:p>
                <w:bookmarkEnd w:id="82"/>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6" w:name="fig-heatmaps-prs"/>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Avg. coding days per Week</w:t>
                  </w:r>
                </w:p>
                <w:bookmarkEnd w:id="8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defects"/>
                <w:p>
                  <w:pPr>
                    <w:pStyle w:val="Compact"/>
                    <w:jc w:val="center"/>
                    <w:jc w:val="left"/>
                  </w:pPr>
                  <w:r>
                    <w:drawing>
                      <wp:inline>
                        <wp:extent cx="1984248" cy="1488186"/>
                        <wp:effectExtent b="0" l="0" r="0" t="0"/>
                        <wp:docPr descr="" title="" id="88" name="Picture"/>
                        <a:graphic>
                          <a:graphicData uri="http://schemas.openxmlformats.org/drawingml/2006/picture">
                            <pic:pic>
                              <pic:nvPicPr>
                                <pic:cNvPr descr="plots/defect_tickets_pct_indiv_eff_size.png" id="89" name="Picture"/>
                                <pic:cNvPicPr>
                                  <a:picLocks noChangeArrowheads="1" noChangeAspect="1"/>
                                </pic:cNvPicPr>
                              </pic:nvPicPr>
                              <pic:blipFill>
                                <a:blip r:embed="rId8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Total merged PRs</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centrality"/>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gree_centrality_monthly_100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Defect tickets percentage</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8" w:name="fig-heatmaps-comments"/>
                <w:p>
                  <w:pPr>
                    <w:pStyle w:val="Compact"/>
                    <w:jc w:val="center"/>
                    <w:jc w:val="left"/>
                  </w:pPr>
                  <w:r>
                    <w:drawing>
                      <wp:inline>
                        <wp:extent cx="1984248" cy="1488186"/>
                        <wp:effectExtent b="0" l="0" r="0" t="0"/>
                        <wp:docPr descr="" title="" id="96" name="Picture"/>
                        <a:graphic>
                          <a:graphicData uri="http://schemas.openxmlformats.org/drawingml/2006/picture">
                            <pic:pic>
                              <pic:nvPicPr>
                                <pic:cNvPr descr="plots/comments_per_pr_eff_size.png" id="97" name="Picture"/>
                                <pic:cNvPicPr>
                                  <a:picLocks noChangeArrowheads="1" noChangeAspect="1"/>
                                </pic:cNvPicPr>
                              </pic:nvPicPr>
                              <pic:blipFill>
                                <a:blip r:embed="rId95"/>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Degree centrality</w:t>
                  </w:r>
                </w:p>
                <w:bookmarkEnd w:id="98"/>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9"/>
    <w:bookmarkEnd w:id="100"/>
    <w:bookmarkStart w:id="122"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101"/>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5" w:name="fig-pp-check-org"/>
          <w:p>
            <w:pPr>
              <w:pStyle w:val="Compact"/>
              <w:jc w:val="center"/>
            </w:pPr>
            <w:r>
              <w:drawing>
                <wp:inline>
                  <wp:extent cx="5334000" cy="3556000"/>
                  <wp:effectExtent b="0" l="0" r="0" t="0"/>
                  <wp:docPr descr="" title="" id="103" name="Picture"/>
                  <a:graphic>
                    <a:graphicData uri="http://schemas.openxmlformats.org/drawingml/2006/picture">
                      <pic:pic>
                        <pic:nvPicPr>
                          <pic:cNvPr descr="plots/cycle_time_full_intx_nlq_pp_check.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Posterior prediction densities for model-expected distributions of cycle time across all orgs with at least 10 observations. Each row is one organization, showing the density of predicted cycle times from 50 model simulations. The scale has been transformed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allow comparisons</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fig-pp-check-sum"/>
          <w:p>
            <w:pPr>
              <w:pStyle w:val="Compact"/>
              <w:jc w:val="center"/>
            </w:pPr>
            <w:r>
              <w:drawing>
                <wp:inline>
                  <wp:extent cx="3669832" cy="2752374"/>
                  <wp:effectExtent b="0" l="0" r="0" t="0"/>
                  <wp:docPr descr="" title="" id="107" name="Picture"/>
                  <a:graphic>
                    <a:graphicData uri="http://schemas.openxmlformats.org/drawingml/2006/picture">
                      <pic:pic>
                        <pic:nvPicPr>
                          <pic:cNvPr descr="plots/cycle_time_full_intx_nlq_pp_check_summary.png" id="108" name="Picture"/>
                          <pic:cNvPicPr>
                            <a:picLocks noChangeArrowheads="1" noChangeAspect="1"/>
                          </pic:cNvPicPr>
                        </pic:nvPicPr>
                        <pic:blipFill>
                          <a:blip r:embed="rId106"/>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Posterior Prediction Distributions of Cycle Time for all data</w:t>
            </w:r>
          </w:p>
          <w:bookmarkEnd w:id="109"/>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3" w:name="fig-bw-ct-traj"/>
          <w:p>
            <w:pPr>
              <w:pStyle w:val="Compact"/>
              <w:jc w:val="center"/>
            </w:pPr>
            <w:r>
              <w:drawing>
                <wp:inline>
                  <wp:extent cx="3669832" cy="2752374"/>
                  <wp:effectExtent b="0" l="0" r="0" t="0"/>
                  <wp:docPr descr="" title="" id="111" name="Picture"/>
                  <a:graphic>
                    <a:graphicData uri="http://schemas.openxmlformats.org/drawingml/2006/picture">
                      <pic:pic>
                        <pic:nvPicPr>
                          <pic:cNvPr descr="plots/cycle_time_full_intx_lin_remonth_post_pred_ids.png" id="112" name="Picture"/>
                          <pic:cNvPicPr>
                            <a:picLocks noChangeArrowheads="1" noChangeAspect="1"/>
                          </pic:cNvPicPr>
                        </pic:nvPicPr>
                        <pic:blipFill>
                          <a:blip r:embed="rId110"/>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Between-person effects on cycle-time trajectories across the year for randomly-sampled individuals.</w:t>
            </w:r>
          </w:p>
          <w:bookmarkEnd w:id="113"/>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7" w:name="fig-wi-ct-traj"/>
          <w:p>
            <w:pPr>
              <w:pStyle w:val="Compact"/>
              <w:jc w:val="center"/>
            </w:pPr>
            <w:r>
              <w:drawing>
                <wp:inline>
                  <wp:extent cx="5334000" cy="2667000"/>
                  <wp:effectExtent b="0" l="0" r="0" t="0"/>
                  <wp:docPr descr="" title="" id="115" name="Picture"/>
                  <a:graphic>
                    <a:graphicData uri="http://schemas.openxmlformats.org/drawingml/2006/picture">
                      <pic:pic>
                        <pic:nvPicPr>
                          <pic:cNvPr descr="plots/cycle_time_full_intx_nlq_post_pred_ids_win.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Within-person effects on cycle-time trajectories across the year for randomly-sampled individuals.</w:t>
            </w:r>
          </w:p>
          <w:bookmarkEnd w:id="117"/>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1" w:name="fig-ct-pp-traj"/>
          <w:p>
            <w:pPr>
              <w:pStyle w:val="Compact"/>
              <w:jc w:val="center"/>
            </w:pPr>
            <w:r>
              <w:drawing>
                <wp:inline>
                  <wp:extent cx="5334000" cy="3048000"/>
                  <wp:effectExtent b="0" l="0" r="0" t="0"/>
                  <wp:docPr descr="" title="" id="119" name="Picture"/>
                  <a:graphic>
                    <a:graphicData uri="http://schemas.openxmlformats.org/drawingml/2006/picture">
                      <pic:pic>
                        <pic:nvPicPr>
                          <pic:cNvPr descr="plots/cycle_time_full_intx_nlq_combined_post_pred_counterfactual.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1"/>
        </w:tc>
      </w:tr>
    </w:tbl>
    <w:bookmarkEnd w:id="122"/>
    <w:bookmarkEnd w:id="123"/>
    <w:bookmarkStart w:id="124"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4"/>
    <w:bookmarkStart w:id="128" w:name="discussion"/>
    <w:p>
      <w:pPr>
        <w:pStyle w:val="Heading1"/>
      </w:pPr>
      <w:r>
        <w:t xml:space="preserve">6. Discussion</w:t>
      </w:r>
    </w:p>
    <w:bookmarkStart w:id="125"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5"/>
    <w:bookmarkStart w:id="126"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6"/>
    <w:bookmarkStart w:id="127"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7"/>
    <w:bookmarkEnd w:id="128"/>
    <w:bookmarkStart w:id="289" w:name="references"/>
    <w:p>
      <w:pPr>
        <w:pStyle w:val="Heading1"/>
      </w:pPr>
      <w:r>
        <w:t xml:space="preserve">References</w:t>
      </w:r>
    </w:p>
    <w:bookmarkStart w:id="288" w:name="refs"/>
    <w:bookmarkStart w:id="130"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9">
        <w:r>
          <w:rPr>
            <w:rStyle w:val="Hyperlink"/>
          </w:rPr>
          <w:t xml:space="preserve">https://doi.org/10.1109/TSE.2007.29</w:t>
        </w:r>
      </w:hyperlink>
      <w:r>
        <w:t xml:space="preserve">.</w:t>
      </w:r>
    </w:p>
    <w:bookmarkEnd w:id="130"/>
    <w:bookmarkStart w:id="132"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1">
        <w:r>
          <w:rPr>
            <w:rStyle w:val="Hyperlink"/>
          </w:rPr>
          <w:t xml:space="preserve">https://doi.org/10.1002/smr.2516</w:t>
        </w:r>
      </w:hyperlink>
      <w:r>
        <w:t xml:space="preserve">.</w:t>
      </w:r>
    </w:p>
    <w:bookmarkEnd w:id="132"/>
    <w:bookmarkStart w:id="133"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3"/>
    <w:bookmarkStart w:id="135"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4">
        <w:r>
          <w:rPr>
            <w:rStyle w:val="Hyperlink"/>
          </w:rPr>
          <w:t xml:space="preserve">https://doi.org/10.1080/00236561003654776</w:t>
        </w:r>
      </w:hyperlink>
      <w:r>
        <w:t xml:space="preserve">.</w:t>
      </w:r>
    </w:p>
    <w:bookmarkEnd w:id="135"/>
    <w:bookmarkStart w:id="136"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6"/>
    <w:bookmarkStart w:id="138"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7">
        <w:r>
          <w:rPr>
            <w:rStyle w:val="Hyperlink"/>
          </w:rPr>
          <w:t xml:space="preserve">https://doi.org/10.1145/3194164.3194178</w:t>
        </w:r>
      </w:hyperlink>
      <w:r>
        <w:t xml:space="preserve">.</w:t>
      </w:r>
    </w:p>
    <w:bookmarkEnd w:id="138"/>
    <w:bookmarkStart w:id="140"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9">
        <w:r>
          <w:rPr>
            <w:rStyle w:val="Hyperlink"/>
          </w:rPr>
          <w:t xml:space="preserve">https://doi.org/10.1109/32.553636</w:t>
        </w:r>
      </w:hyperlink>
      <w:r>
        <w:t xml:space="preserve">.</w:t>
      </w:r>
    </w:p>
    <w:bookmarkEnd w:id="140"/>
    <w:bookmarkStart w:id="142"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1">
        <w:r>
          <w:rPr>
            <w:rStyle w:val="Hyperlink"/>
          </w:rPr>
          <w:t xml:space="preserve">https://doi.org/10.1109/ICSE.2013.6606755</w:t>
        </w:r>
      </w:hyperlink>
      <w:r>
        <w:t xml:space="preserve">.</w:t>
      </w:r>
    </w:p>
    <w:bookmarkEnd w:id="142"/>
    <w:bookmarkStart w:id="144"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3">
        <w:r>
          <w:rPr>
            <w:rStyle w:val="Hyperlink"/>
          </w:rPr>
          <w:t xml:space="preserve">https://doi.org/10.1037/0021-9010.92.6.1657</w:t>
        </w:r>
      </w:hyperlink>
      <w:r>
        <w:t xml:space="preserve">.</w:t>
      </w:r>
    </w:p>
    <w:bookmarkEnd w:id="144"/>
    <w:bookmarkStart w:id="146"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5">
        <w:r>
          <w:rPr>
            <w:rStyle w:val="Hyperlink"/>
          </w:rPr>
          <w:t xml:space="preserve">https://doi.org/10.5465/256835</w:t>
        </w:r>
      </w:hyperlink>
      <w:r>
        <w:t xml:space="preserve">.</w:t>
      </w:r>
    </w:p>
    <w:bookmarkEnd w:id="146"/>
    <w:bookmarkStart w:id="147"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7"/>
    <w:bookmarkStart w:id="148"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8"/>
    <w:bookmarkStart w:id="150"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9">
        <w:r>
          <w:rPr>
            <w:rStyle w:val="Hyperlink"/>
          </w:rPr>
          <w:t xml:space="preserve">https://doi.org/10.18637/jss.v080.i01</w:t>
        </w:r>
      </w:hyperlink>
      <w:r>
        <w:t xml:space="preserve">.</w:t>
      </w:r>
    </w:p>
    <w:bookmarkEnd w:id="150"/>
    <w:bookmarkStart w:id="152"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1">
        <w:r>
          <w:rPr>
            <w:rStyle w:val="Hyperlink"/>
          </w:rPr>
          <w:t xml:space="preserve">https://doi.org/10.32614/RJ-2018-017</w:t>
        </w:r>
      </w:hyperlink>
      <w:r>
        <w:t xml:space="preserve">.</w:t>
      </w:r>
    </w:p>
    <w:bookmarkEnd w:id="152"/>
    <w:bookmarkStart w:id="154"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3">
        <w:r>
          <w:rPr>
            <w:rStyle w:val="Hyperlink"/>
          </w:rPr>
          <w:t xml:space="preserve">https://doi.org/10.18637/jss.v100.i05</w:t>
        </w:r>
      </w:hyperlink>
      <w:r>
        <w:t xml:space="preserve">.</w:t>
      </w:r>
    </w:p>
    <w:bookmarkEnd w:id="154"/>
    <w:bookmarkStart w:id="155"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5"/>
    <w:bookmarkStart w:id="157"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6">
        <w:r>
          <w:rPr>
            <w:rStyle w:val="Hyperlink"/>
          </w:rPr>
          <w:t xml:space="preserve">https://doi.org/10.1080/1359432X.2017.1319817</w:t>
        </w:r>
      </w:hyperlink>
      <w:r>
        <w:t xml:space="preserve">.</w:t>
      </w:r>
    </w:p>
    <w:bookmarkEnd w:id="157"/>
    <w:bookmarkStart w:id="158"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8"/>
    <w:bookmarkStart w:id="160"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9">
        <w:r>
          <w:rPr>
            <w:rStyle w:val="Hyperlink"/>
          </w:rPr>
          <w:t xml:space="preserve">https://doi.org/10.1111/j.1540-5885.1995.jpim122_0110.xml.x</w:t>
        </w:r>
      </w:hyperlink>
      <w:r>
        <w:t xml:space="preserve">.</w:t>
      </w:r>
    </w:p>
    <w:bookmarkEnd w:id="160"/>
    <w:bookmarkStart w:id="161"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1"/>
    <w:bookmarkStart w:id="162"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2"/>
    <w:bookmarkStart w:id="163"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3"/>
    <w:bookmarkStart w:id="164"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4"/>
    <w:bookmarkStart w:id="166"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5">
        <w:r>
          <w:rPr>
            <w:rStyle w:val="Hyperlink"/>
          </w:rPr>
          <w:t xml:space="preserve">https://doi.org/10.1146/annurev.psych.093008.100356</w:t>
        </w:r>
      </w:hyperlink>
      <w:r>
        <w:t xml:space="preserve">.</w:t>
      </w:r>
    </w:p>
    <w:bookmarkEnd w:id="166"/>
    <w:bookmarkStart w:id="168"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7">
        <w:r>
          <w:rPr>
            <w:rStyle w:val="Hyperlink"/>
          </w:rPr>
          <w:t xml:space="preserve">https://doi.org/10.48550/arXiv.2409.15152</w:t>
        </w:r>
      </w:hyperlink>
      <w:r>
        <w:t xml:space="preserve">.</w:t>
      </w:r>
    </w:p>
    <w:bookmarkEnd w:id="168"/>
    <w:bookmarkStart w:id="170"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9">
        <w:r>
          <w:rPr>
            <w:rStyle w:val="Hyperlink"/>
          </w:rPr>
          <w:t xml:space="preserve">https://doi.org/10.1109/IEMC.1998.727789</w:t>
        </w:r>
      </w:hyperlink>
      <w:r>
        <w:t xml:space="preserve">.</w:t>
      </w:r>
    </w:p>
    <w:bookmarkEnd w:id="170"/>
    <w:bookmarkStart w:id="171"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1"/>
    <w:bookmarkStart w:id="172" w:name="ref-flowHowIncreaseSoftware"/>
    <w:p>
      <w:pPr>
        <w:pStyle w:val="Bibliography"/>
      </w:pPr>
      <w:r>
        <w:t xml:space="preserve">Flow. n.d.</w:t>
      </w:r>
      <w:r>
        <w:t xml:space="preserve"> </w:t>
      </w:r>
      <w:r>
        <w:t xml:space="preserve">“How to Increase Software Delivery Speeds by Reducing Cycle Time.”</w:t>
      </w:r>
    </w:p>
    <w:bookmarkEnd w:id="172"/>
    <w:bookmarkStart w:id="174"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3">
        <w:r>
          <w:rPr>
            <w:rStyle w:val="Hyperlink"/>
          </w:rPr>
          <w:t xml:space="preserve">https://doi.org/10.1145/1297846.1297973</w:t>
        </w:r>
      </w:hyperlink>
      <w:r>
        <w:t xml:space="preserve">.</w:t>
      </w:r>
    </w:p>
    <w:bookmarkEnd w:id="174"/>
    <w:bookmarkStart w:id="175"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5"/>
    <w:bookmarkStart w:id="177"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6">
        <w:r>
          <w:rPr>
            <w:rStyle w:val="Hyperlink"/>
          </w:rPr>
          <w:t xml:space="preserve">https://doi.org/10.1177/1745691614551642</w:t>
        </w:r>
      </w:hyperlink>
      <w:r>
        <w:t xml:space="preserve">.</w:t>
      </w:r>
    </w:p>
    <w:bookmarkEnd w:id="177"/>
    <w:bookmarkStart w:id="178"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8"/>
    <w:bookmarkStart w:id="179" w:name="ref-gralhaReduceCycleTime2022"/>
    <w:p>
      <w:pPr>
        <w:pStyle w:val="Bibliography"/>
      </w:pPr>
      <w:r>
        <w:t xml:space="preserve">Gralha, Catarina. 2022.</w:t>
      </w:r>
      <w:r>
        <w:t xml:space="preserve"> </w:t>
      </w:r>
      <w:r>
        <w:t xml:space="preserve">“Reduce Cycle Time - Best Practices.”</w:t>
      </w:r>
    </w:p>
    <w:bookmarkEnd w:id="179"/>
    <w:bookmarkStart w:id="181"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0">
        <w:r>
          <w:rPr>
            <w:rStyle w:val="Hyperlink"/>
          </w:rPr>
          <w:t xml:space="preserve">https://doi.org/10.48550/arXiv.2205.06352</w:t>
        </w:r>
      </w:hyperlink>
      <w:r>
        <w:t xml:space="preserve">.</w:t>
      </w:r>
    </w:p>
    <w:bookmarkEnd w:id="181"/>
    <w:bookmarkStart w:id="183"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2">
        <w:r>
          <w:rPr>
            <w:rStyle w:val="Hyperlink"/>
          </w:rPr>
          <w:t xml:space="preserve">https://doi.org/10.1111/1540-5885.1020112</w:t>
        </w:r>
      </w:hyperlink>
      <w:r>
        <w:t xml:space="preserve">.</w:t>
      </w:r>
    </w:p>
    <w:bookmarkEnd w:id="183"/>
    <w:bookmarkStart w:id="185"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4">
        <w:r>
          <w:rPr>
            <w:rStyle w:val="Hyperlink"/>
          </w:rPr>
          <w:t xml:space="preserve">https://doi.org/10.1007/s12599-024-00866-7</w:t>
        </w:r>
      </w:hyperlink>
      <w:r>
        <w:t xml:space="preserve">.</w:t>
      </w:r>
    </w:p>
    <w:bookmarkEnd w:id="185"/>
    <w:bookmarkStart w:id="18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6">
        <w:r>
          <w:rPr>
            <w:rStyle w:val="Hyperlink"/>
          </w:rPr>
          <w:t xml:space="preserve">https://doi.org/10.1145/1958824.1958887</w:t>
        </w:r>
      </w:hyperlink>
      <w:r>
        <w:t xml:space="preserve">.</w:t>
      </w:r>
    </w:p>
    <w:bookmarkEnd w:id="187"/>
    <w:bookmarkStart w:id="18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8">
        <w:r>
          <w:rPr>
            <w:rStyle w:val="Hyperlink"/>
          </w:rPr>
          <w:t xml:space="preserve">https://doi.org/10.1080/08956308.1998.11671221</w:t>
        </w:r>
      </w:hyperlink>
      <w:r>
        <w:t xml:space="preserve">.</w:t>
      </w:r>
    </w:p>
    <w:bookmarkEnd w:id="189"/>
    <w:bookmarkStart w:id="19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0"/>
    <w:bookmarkStart w:id="19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1">
        <w:r>
          <w:rPr>
            <w:rStyle w:val="Hyperlink"/>
          </w:rPr>
          <w:t xml:space="preserve">https://doi.org/10.1007/978-3-319-19425-7</w:t>
        </w:r>
      </w:hyperlink>
      <w:r>
        <w:t xml:space="preserve">.</w:t>
      </w:r>
    </w:p>
    <w:bookmarkEnd w:id="192"/>
    <w:bookmarkStart w:id="19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3"/>
    <w:bookmarkStart w:id="19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4">
        <w:r>
          <w:rPr>
            <w:rStyle w:val="Hyperlink"/>
          </w:rPr>
          <w:t xml:space="preserve">https://doi.org/10.31234/osf.io/qz43x</w:t>
        </w:r>
      </w:hyperlink>
      <w:r>
        <w:t xml:space="preserve">.</w:t>
      </w:r>
    </w:p>
    <w:bookmarkEnd w:id="195"/>
    <w:bookmarkStart w:id="19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6">
        <w:r>
          <w:rPr>
            <w:rStyle w:val="Hyperlink"/>
          </w:rPr>
          <w:t xml:space="preserve">https://doi.org/10.31234/osf.io/tfjyw</w:t>
        </w:r>
      </w:hyperlink>
      <w:r>
        <w:t xml:space="preserve">.</w:t>
      </w:r>
    </w:p>
    <w:bookmarkEnd w:id="197"/>
    <w:bookmarkStart w:id="19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8">
        <w:r>
          <w:rPr>
            <w:rStyle w:val="Hyperlink"/>
          </w:rPr>
          <w:t xml:space="preserve">https://doi.org/10.1109/MS.2024.3382957</w:t>
        </w:r>
      </w:hyperlink>
      <w:r>
        <w:t xml:space="preserve">.</w:t>
      </w:r>
    </w:p>
    <w:bookmarkEnd w:id="199"/>
    <w:bookmarkStart w:id="20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0">
        <w:r>
          <w:rPr>
            <w:rStyle w:val="Hyperlink"/>
          </w:rPr>
          <w:t xml:space="preserve">https://doi.org/10.31234/osf.io/2gej5</w:t>
        </w:r>
      </w:hyperlink>
      <w:r>
        <w:t xml:space="preserve">.</w:t>
      </w:r>
    </w:p>
    <w:bookmarkEnd w:id="201"/>
    <w:bookmarkStart w:id="20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2"/>
    <w:bookmarkStart w:id="20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3">
        <w:r>
          <w:rPr>
            <w:rStyle w:val="Hyperlink"/>
          </w:rPr>
          <w:t xml:space="preserve">https://doi.org/10.5281/zenodo.1308151</w:t>
        </w:r>
      </w:hyperlink>
      <w:r>
        <w:t xml:space="preserve">.</w:t>
      </w:r>
    </w:p>
    <w:bookmarkEnd w:id="204"/>
    <w:bookmarkStart w:id="20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5">
        <w:r>
          <w:rPr>
            <w:rStyle w:val="Hyperlink"/>
          </w:rPr>
          <w:t xml:space="preserve">https://doi.org/10.1177/2515245918771304</w:t>
        </w:r>
      </w:hyperlink>
      <w:r>
        <w:t xml:space="preserve">.</w:t>
      </w:r>
    </w:p>
    <w:bookmarkEnd w:id="206"/>
    <w:bookmarkStart w:id="20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7">
        <w:r>
          <w:rPr>
            <w:rStyle w:val="Hyperlink"/>
          </w:rPr>
          <w:t xml:space="preserve">https://doi.org/10.1145/3524842.3528448</w:t>
        </w:r>
      </w:hyperlink>
      <w:r>
        <w:t xml:space="preserve">.</w:t>
      </w:r>
    </w:p>
    <w:bookmarkEnd w:id="208"/>
    <w:bookmarkStart w:id="21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9">
        <w:r>
          <w:rPr>
            <w:rStyle w:val="Hyperlink"/>
          </w:rPr>
          <w:t xml:space="preserve">https://doi.org/10.1027/1866-5888/a000286</w:t>
        </w:r>
      </w:hyperlink>
      <w:r>
        <w:t xml:space="preserve">.</w:t>
      </w:r>
    </w:p>
    <w:bookmarkEnd w:id="210"/>
    <w:bookmarkStart w:id="21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1"/>
    <w:bookmarkStart w:id="21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2"/>
    <w:bookmarkStart w:id="21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3">
        <w:r>
          <w:rPr>
            <w:rStyle w:val="Hyperlink"/>
          </w:rPr>
          <w:t xml:space="preserve">https://doi.org/10.21105/joss.02445</w:t>
        </w:r>
      </w:hyperlink>
      <w:r>
        <w:t xml:space="preserve">.</w:t>
      </w:r>
    </w:p>
    <w:bookmarkEnd w:id="214"/>
    <w:bookmarkStart w:id="21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5">
        <w:r>
          <w:rPr>
            <w:rStyle w:val="Hyperlink"/>
          </w:rPr>
          <w:t xml:space="preserve">https://doi.org/10.1109/32.544349</w:t>
        </w:r>
      </w:hyperlink>
      <w:r>
        <w:t xml:space="preserve">.</w:t>
      </w:r>
    </w:p>
    <w:bookmarkEnd w:id="216"/>
    <w:bookmarkStart w:id="21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7">
        <w:r>
          <w:rPr>
            <w:rStyle w:val="Hyperlink"/>
          </w:rPr>
          <w:t xml:space="preserve">https://doi.org/10.1201/9780429029608</w:t>
        </w:r>
      </w:hyperlink>
      <w:r>
        <w:t xml:space="preserve">.</w:t>
      </w:r>
    </w:p>
    <w:bookmarkEnd w:id="218"/>
    <w:bookmarkStart w:id="22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9">
        <w:r>
          <w:rPr>
            <w:rStyle w:val="Hyperlink"/>
          </w:rPr>
          <w:t xml:space="preserve">https://doi.org/10.1177/02683962231202535</w:t>
        </w:r>
      </w:hyperlink>
      <w:r>
        <w:t xml:space="preserve">.</w:t>
      </w:r>
    </w:p>
    <w:bookmarkEnd w:id="220"/>
    <w:bookmarkStart w:id="22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1">
        <w:r>
          <w:rPr>
            <w:rStyle w:val="Hyperlink"/>
          </w:rPr>
          <w:t xml:space="preserve">https://doi.org/10.1109/TSE.2019.2904957</w:t>
        </w:r>
      </w:hyperlink>
      <w:r>
        <w:t xml:space="preserve">.</w:t>
      </w:r>
    </w:p>
    <w:bookmarkEnd w:id="222"/>
    <w:bookmarkStart w:id="22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3">
        <w:r>
          <w:rPr>
            <w:rStyle w:val="Hyperlink"/>
          </w:rPr>
          <w:t xml:space="preserve">https://doi.org/10.1109/TSE.2019.2900308</w:t>
        </w:r>
      </w:hyperlink>
      <w:r>
        <w:t xml:space="preserve">.</w:t>
      </w:r>
    </w:p>
    <w:bookmarkEnd w:id="224"/>
    <w:bookmarkStart w:id="22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5">
        <w:r>
          <w:rPr>
            <w:rStyle w:val="Hyperlink"/>
          </w:rPr>
          <w:t xml:space="preserve">https://doi.org/10.1109/TSE.2009.18</w:t>
        </w:r>
      </w:hyperlink>
      <w:r>
        <w:t xml:space="preserve">.</w:t>
      </w:r>
    </w:p>
    <w:bookmarkEnd w:id="226"/>
    <w:bookmarkStart w:id="22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7"/>
    <w:bookmarkStart w:id="22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8">
        <w:r>
          <w:rPr>
            <w:rStyle w:val="Hyperlink"/>
          </w:rPr>
          <w:t xml:space="preserve">https://doi.org/10.1109/MS.2019.2908576</w:t>
        </w:r>
      </w:hyperlink>
      <w:r>
        <w:t xml:space="preserve">.</w:t>
      </w:r>
    </w:p>
    <w:bookmarkEnd w:id="229"/>
    <w:bookmarkStart w:id="230"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0"/>
    <w:bookmarkStart w:id="231"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1"/>
    <w:bookmarkStart w:id="232"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2"/>
    <w:bookmarkStart w:id="234"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3">
        <w:r>
          <w:rPr>
            <w:rStyle w:val="Hyperlink"/>
          </w:rPr>
          <w:t xml:space="preserve">https://doi.org/10.48550/arXiv.2406.01578</w:t>
        </w:r>
      </w:hyperlink>
      <w:r>
        <w:t xml:space="preserve">.</w:t>
      </w:r>
    </w:p>
    <w:bookmarkEnd w:id="234"/>
    <w:bookmarkStart w:id="235"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5"/>
    <w:bookmarkStart w:id="236"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6"/>
    <w:bookmarkStart w:id="237"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7"/>
    <w:bookmarkStart w:id="239"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8">
        <w:r>
          <w:rPr>
            <w:rStyle w:val="Hyperlink"/>
          </w:rPr>
          <w:t xml:space="preserve">https://doi.org/10.1177/0003122418762291</w:t>
        </w:r>
      </w:hyperlink>
      <w:r>
        <w:t xml:space="preserve">.</w:t>
      </w:r>
    </w:p>
    <w:bookmarkEnd w:id="239"/>
    <w:bookmarkStart w:id="240"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0"/>
    <w:bookmarkStart w:id="242"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1">
        <w:r>
          <w:rPr>
            <w:rStyle w:val="Hyperlink"/>
          </w:rPr>
          <w:t xml:space="preserve">https://doi.org/10.1108/14691930410567040</w:t>
        </w:r>
      </w:hyperlink>
      <w:r>
        <w:t xml:space="preserve">.</w:t>
      </w:r>
    </w:p>
    <w:bookmarkEnd w:id="242"/>
    <w:bookmarkStart w:id="243"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3"/>
    <w:bookmarkStart w:id="244"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4"/>
    <w:bookmarkStart w:id="246"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5">
        <w:r>
          <w:rPr>
            <w:rStyle w:val="Hyperlink"/>
          </w:rPr>
          <w:t xml:space="preserve">https://doi.org/10.1109/AERO50100.2021.9438359</w:t>
        </w:r>
      </w:hyperlink>
      <w:r>
        <w:t xml:space="preserve">.</w:t>
      </w:r>
    </w:p>
    <w:bookmarkEnd w:id="246"/>
    <w:bookmarkStart w:id="247"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7"/>
    <w:bookmarkStart w:id="249"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8">
        <w:r>
          <w:rPr>
            <w:rStyle w:val="Hyperlink"/>
          </w:rPr>
          <w:t xml:space="preserve">https://doi.org/10.1145/3510003.3510081</w:t>
        </w:r>
      </w:hyperlink>
      <w:r>
        <w:t xml:space="preserve">.</w:t>
      </w:r>
    </w:p>
    <w:bookmarkEnd w:id="249"/>
    <w:bookmarkStart w:id="251"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0">
        <w:r>
          <w:rPr>
            <w:rStyle w:val="Hyperlink"/>
          </w:rPr>
          <w:t xml:space="preserve">https://doi.org/10.1145/362851.362858</w:t>
        </w:r>
      </w:hyperlink>
      <w:r>
        <w:t xml:space="preserve">.</w:t>
      </w:r>
    </w:p>
    <w:bookmarkEnd w:id="251"/>
    <w:bookmarkStart w:id="253"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2">
        <w:r>
          <w:rPr>
            <w:rStyle w:val="Hyperlink"/>
          </w:rPr>
          <w:t xml:space="preserve">https://doi.org/10.1007/978-1-4842-4221-6_5</w:t>
        </w:r>
      </w:hyperlink>
      <w:r>
        <w:t xml:space="preserve">.</w:t>
      </w:r>
    </w:p>
    <w:bookmarkEnd w:id="253"/>
    <w:bookmarkStart w:id="255"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4">
        <w:r>
          <w:rPr>
            <w:rStyle w:val="Hyperlink"/>
          </w:rPr>
          <w:t xml:space="preserve">https://doi.org/10.1007/978-1-4842-4221-6</w:t>
        </w:r>
      </w:hyperlink>
      <w:r>
        <w:t xml:space="preserve">.</w:t>
      </w:r>
    </w:p>
    <w:bookmarkEnd w:id="255"/>
    <w:bookmarkStart w:id="257"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6">
        <w:r>
          <w:rPr>
            <w:rStyle w:val="Hyperlink"/>
          </w:rPr>
          <w:t xml:space="preserve">https://doi.org/10.1007/s10664-021-09957-5</w:t>
        </w:r>
      </w:hyperlink>
      <w:r>
        <w:t xml:space="preserve">.</w:t>
      </w:r>
    </w:p>
    <w:bookmarkEnd w:id="257"/>
    <w:bookmarkStart w:id="25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8"/>
    <w:bookmarkStart w:id="260"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9">
        <w:r>
          <w:rPr>
            <w:rStyle w:val="Hyperlink"/>
          </w:rPr>
          <w:t xml:space="preserve">https://doi.org/10.1145/3528579.3529177</w:t>
        </w:r>
      </w:hyperlink>
      <w:r>
        <w:t xml:space="preserve">.</w:t>
      </w:r>
    </w:p>
    <w:bookmarkEnd w:id="260"/>
    <w:bookmarkStart w:id="261"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9">
        <w:r>
          <w:rPr>
            <w:rStyle w:val="Hyperlink"/>
          </w:rPr>
          <w:t xml:space="preserve">https://doi.org/10.1145/3528579.3529177</w:t>
        </w:r>
      </w:hyperlink>
      <w:r>
        <w:t xml:space="preserve">.</w:t>
      </w:r>
    </w:p>
    <w:bookmarkEnd w:id="261"/>
    <w:bookmarkStart w:id="263"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2">
        <w:r>
          <w:rPr>
            <w:rStyle w:val="Hyperlink"/>
          </w:rPr>
          <w:t xml:space="preserve">https://doi.org/10.1109/TSE.2019.2944354</w:t>
        </w:r>
      </w:hyperlink>
      <w:r>
        <w:t xml:space="preserve">.</w:t>
      </w:r>
    </w:p>
    <w:bookmarkEnd w:id="263"/>
    <w:bookmarkStart w:id="264"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4"/>
    <w:bookmarkStart w:id="26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5"/>
    <w:bookmarkStart w:id="26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6"/>
    <w:bookmarkStart w:id="26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7"/>
    <w:bookmarkStart w:id="26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8">
        <w:r>
          <w:rPr>
            <w:rStyle w:val="Hyperlink"/>
          </w:rPr>
          <w:t xml:space="preserve">https://doi.org/10.1016/S0065-2458(09)01206-6</w:t>
        </w:r>
      </w:hyperlink>
      <w:r>
        <w:t xml:space="preserve">.</w:t>
      </w:r>
    </w:p>
    <w:bookmarkEnd w:id="269"/>
    <w:bookmarkStart w:id="27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0"/>
    <w:bookmarkStart w:id="27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1">
        <w:r>
          <w:rPr>
            <w:rStyle w:val="Hyperlink"/>
          </w:rPr>
          <w:t xml:space="preserve">https://doi.org/10.1111/j.1467-9310.2006.00435.x</w:t>
        </w:r>
      </w:hyperlink>
      <w:r>
        <w:t xml:space="preserve">.</w:t>
      </w:r>
    </w:p>
    <w:bookmarkEnd w:id="272"/>
    <w:bookmarkStart w:id="27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3"/>
    <w:bookmarkStart w:id="27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4"/>
    <w:bookmarkStart w:id="275"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10" Target="media/rId110.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2025-02-26T23:33:09Z</dcterms:created>
  <dcterms:modified xsi:type="dcterms:W3CDTF">2025-02-26T23:33:09Z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2025-02-26</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