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(André N. Meyer et al. 2021)</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Please see</w:t>
      </w:r>
      <w:r>
        <w:t xml:space="preserve"> </w:t>
      </w:r>
      <w:r>
        <w:t xml:space="preserve">“</w:t>
      </w:r>
      <w:r>
        <w:t xml:space="preserve">ancillary files</w:t>
      </w:r>
      <w:r>
        <w:t xml:space="preserve">”</w:t>
      </w:r>
      <w:r>
        <w:t xml:space="preserve"> </w:t>
      </w:r>
      <w:r>
        <w:t xml:space="preserve">for the text of analysis code as a Qmd file.</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Population-level effect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Variance and covariance of organization and individual-level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(Andre N. Meyer et al. 2021)</w:t>
      </w:r>
      <w:r>
        <w:t xml:space="preserve">.</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as a tractable area for new longitudinal investigations.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p>
      <w:pPr>
        <w:pStyle w:val="BodyText"/>
      </w:pPr>
      <w:r>
        <w:t xml:space="preserve">In the domain of intervention studies, we have argued that while software metrics may play a role in evaluating the impact of changes made to engineering organizations (or broader product and other cross-functional partnerships that include engineering organizations), determining this impact is not as simple as expecting a coherent, consistent and average increase in a metric such as cycle time to result from a change. Changes which may be meaningful at the scale of an organization may be relatively small or invisible on the individual level, and changes which are meaningful to individuals may not reflect an intervention that scales to an organization. Nevertheless, engineering (and other) orgs are currently seeking to become data-driven and use their own activity data as a point of reflection on both sides of this question. Increased attention to developing robust efficacy measures for behavioral interventions at scale, and detailing the nuances of how these changes show up in software activity metrics, will be needed to answer these questions. Detailing the potential methodological and statistical pitfalls of these data may also play a critical role in steering organizations away from misleading and inaccurate summaries, and toward appropriate methodologies. Understanding how to implement a software work intervention across an organization in a standardized way presents its own set of research questions for the future. For this, we believe that increased attention to developers’ own within-person growth, wellbeing, and work will also be necessary to provide a full understanding of software work.</w:t>
      </w:r>
    </w:p>
    <w:p>
      <w:pPr>
        <w:pStyle w:val="BodyText"/>
      </w:pPr>
      <w:r>
        <w:t xml:space="preserve">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88">
        <w:r>
          <w:rPr>
            <w:rStyle w:val="Hyperlink"/>
          </w:rPr>
          <w:t xml:space="preserve">https://doi.org/10.1111/1540-5885.1020112</w:t>
        </w:r>
      </w:hyperlink>
      <w:r>
        <w:t xml:space="preserve">.</w:t>
      </w:r>
    </w:p>
    <w:bookmarkEnd w:id="189"/>
    <w:bookmarkStart w:id="191"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0">
        <w:r>
          <w:rPr>
            <w:rStyle w:val="Hyperlink"/>
          </w:rPr>
          <w:t xml:space="preserve">https://doi.org/10.1007/s12599-024-00866-7</w:t>
        </w:r>
      </w:hyperlink>
      <w:r>
        <w:t xml:space="preserve">.</w:t>
      </w:r>
    </w:p>
    <w:bookmarkEnd w:id="191"/>
    <w:bookmarkStart w:id="193"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2">
        <w:r>
          <w:rPr>
            <w:rStyle w:val="Hyperlink"/>
          </w:rPr>
          <w:t xml:space="preserve">https://doi.org/10.1145/1958824.1958887</w:t>
        </w:r>
      </w:hyperlink>
      <w:r>
        <w:t xml:space="preserve">.</w:t>
      </w:r>
    </w:p>
    <w:bookmarkEnd w:id="193"/>
    <w:bookmarkStart w:id="195"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4">
        <w:r>
          <w:rPr>
            <w:rStyle w:val="Hyperlink"/>
          </w:rPr>
          <w:t xml:space="preserve">https://doi.org/10.1080/08956308.1998.11671221</w:t>
        </w:r>
      </w:hyperlink>
      <w:r>
        <w:t xml:space="preserve">.</w:t>
      </w:r>
    </w:p>
    <w:bookmarkEnd w:id="195"/>
    <w:bookmarkStart w:id="196"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6"/>
    <w:bookmarkStart w:id="198"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7">
        <w:r>
          <w:rPr>
            <w:rStyle w:val="Hyperlink"/>
          </w:rPr>
          <w:t xml:space="preserve">https://doi.org/10.1007/978-3-319-19425-7</w:t>
        </w:r>
      </w:hyperlink>
      <w:r>
        <w:t xml:space="preserve">.</w:t>
      </w:r>
    </w:p>
    <w:bookmarkEnd w:id="198"/>
    <w:bookmarkStart w:id="199"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199"/>
    <w:bookmarkStart w:id="201"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0">
        <w:r>
          <w:rPr>
            <w:rStyle w:val="Hyperlink"/>
          </w:rPr>
          <w:t xml:space="preserve">https://doi.org/10.31234/osf.io/qz43x</w:t>
        </w:r>
      </w:hyperlink>
      <w:r>
        <w:t xml:space="preserve">.</w:t>
      </w:r>
    </w:p>
    <w:bookmarkEnd w:id="201"/>
    <w:bookmarkStart w:id="203"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2">
        <w:r>
          <w:rPr>
            <w:rStyle w:val="Hyperlink"/>
          </w:rPr>
          <w:t xml:space="preserve">https://doi.org/10.31234/osf.io/tfjyw</w:t>
        </w:r>
      </w:hyperlink>
      <w:r>
        <w:t xml:space="preserve">.</w:t>
      </w:r>
    </w:p>
    <w:bookmarkEnd w:id="203"/>
    <w:bookmarkStart w:id="205"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4">
        <w:r>
          <w:rPr>
            <w:rStyle w:val="Hyperlink"/>
          </w:rPr>
          <w:t xml:space="preserve">https://doi.org/10.1109/MS.2024.3382957</w:t>
        </w:r>
      </w:hyperlink>
      <w:r>
        <w:t xml:space="preserve">.</w:t>
      </w:r>
    </w:p>
    <w:bookmarkEnd w:id="205"/>
    <w:bookmarkStart w:id="207"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6">
        <w:r>
          <w:rPr>
            <w:rStyle w:val="Hyperlink"/>
          </w:rPr>
          <w:t xml:space="preserve">https://doi.org/10.31234/osf.io/2gej5</w:t>
        </w:r>
      </w:hyperlink>
      <w:r>
        <w:t xml:space="preserve">.</w:t>
      </w:r>
    </w:p>
    <w:bookmarkEnd w:id="207"/>
    <w:bookmarkStart w:id="208"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08"/>
    <w:bookmarkStart w:id="210"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09">
        <w:r>
          <w:rPr>
            <w:rStyle w:val="Hyperlink"/>
          </w:rPr>
          <w:t xml:space="preserve">https://doi.org/10.5281/zenodo.1308151</w:t>
        </w:r>
      </w:hyperlink>
      <w:r>
        <w:t xml:space="preserve">.</w:t>
      </w:r>
    </w:p>
    <w:bookmarkEnd w:id="210"/>
    <w:bookmarkStart w:id="212"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1">
        <w:r>
          <w:rPr>
            <w:rStyle w:val="Hyperlink"/>
          </w:rPr>
          <w:t xml:space="preserve">https://doi.org/10.1109/ICSE.2004.1317449</w:t>
        </w:r>
      </w:hyperlink>
      <w:r>
        <w:t xml:space="preserve">.</w:t>
      </w:r>
    </w:p>
    <w:bookmarkEnd w:id="212"/>
    <w:bookmarkStart w:id="214"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3">
        <w:r>
          <w:rPr>
            <w:rStyle w:val="Hyperlink"/>
          </w:rPr>
          <w:t xml:space="preserve">https://doi.org/10.1177/2515245918771304</w:t>
        </w:r>
      </w:hyperlink>
      <w:r>
        <w:t xml:space="preserve">.</w:t>
      </w:r>
    </w:p>
    <w:bookmarkEnd w:id="214"/>
    <w:bookmarkStart w:id="216"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5">
        <w:r>
          <w:rPr>
            <w:rStyle w:val="Hyperlink"/>
          </w:rPr>
          <w:t xml:space="preserve">https://doi.org/10.1145/3524842.3528448</w:t>
        </w:r>
      </w:hyperlink>
      <w:r>
        <w:t xml:space="preserve">.</w:t>
      </w:r>
    </w:p>
    <w:bookmarkEnd w:id="216"/>
    <w:bookmarkStart w:id="218"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7">
        <w:r>
          <w:rPr>
            <w:rStyle w:val="Hyperlink"/>
          </w:rPr>
          <w:t xml:space="preserve">https://doi.org/10.1027/1866-5888/a000286</w:t>
        </w:r>
      </w:hyperlink>
      <w:r>
        <w:t xml:space="preserve">.</w:t>
      </w:r>
    </w:p>
    <w:bookmarkEnd w:id="218"/>
    <w:bookmarkStart w:id="219"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19"/>
    <w:bookmarkStart w:id="220"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0"/>
    <w:bookmarkStart w:id="222"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1">
        <w:r>
          <w:rPr>
            <w:rStyle w:val="Hyperlink"/>
          </w:rPr>
          <w:t xml:space="preserve">https://doi.org/10.21105/joss.02445</w:t>
        </w:r>
      </w:hyperlink>
      <w:r>
        <w:t xml:space="preserve">.</w:t>
      </w:r>
    </w:p>
    <w:bookmarkEnd w:id="222"/>
    <w:bookmarkStart w:id="224"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3">
        <w:r>
          <w:rPr>
            <w:rStyle w:val="Hyperlink"/>
          </w:rPr>
          <w:t xml:space="preserve">https://doi.org/10.1109/32.544349</w:t>
        </w:r>
      </w:hyperlink>
      <w:r>
        <w:t xml:space="preserve">.</w:t>
      </w:r>
    </w:p>
    <w:bookmarkEnd w:id="224"/>
    <w:bookmarkStart w:id="226"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5">
        <w:r>
          <w:rPr>
            <w:rStyle w:val="Hyperlink"/>
          </w:rPr>
          <w:t xml:space="preserve">https://doi.org/10.1201/9780429029608</w:t>
        </w:r>
      </w:hyperlink>
      <w:r>
        <w:t xml:space="preserve">.</w:t>
      </w:r>
    </w:p>
    <w:bookmarkEnd w:id="226"/>
    <w:bookmarkStart w:id="228"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7">
        <w:r>
          <w:rPr>
            <w:rStyle w:val="Hyperlink"/>
          </w:rPr>
          <w:t xml:space="preserve">https://doi.org/10.1177/02683962231202535</w:t>
        </w:r>
      </w:hyperlink>
      <w:r>
        <w:t xml:space="preserve">.</w:t>
      </w:r>
    </w:p>
    <w:bookmarkEnd w:id="228"/>
    <w:bookmarkStart w:id="230"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29">
        <w:r>
          <w:rPr>
            <w:rStyle w:val="Hyperlink"/>
          </w:rPr>
          <w:t xml:space="preserve">https://doi.org/10.1109/TSE.2019.2904957</w:t>
        </w:r>
      </w:hyperlink>
      <w:r>
        <w:t xml:space="preserve">.</w:t>
      </w:r>
    </w:p>
    <w:bookmarkEnd w:id="230"/>
    <w:bookmarkStart w:id="232" w:name="ref-meyerEnablingGoodWork2021"/>
    <w:p>
      <w:pPr>
        <w:pStyle w:val="Bibliography"/>
      </w:pPr>
      <w:r>
        <w:t xml:space="preserve">Meyer, André N., Gail C. Murphy, Thomas Zimmermann, and Thomas Fritz. 2021.</w:t>
      </w:r>
      <w:r>
        <w:t xml:space="preserve"> </w:t>
      </w:r>
      <w:r>
        <w:t xml:space="preserve">“Enabling</w:t>
      </w:r>
      <w:r>
        <w:t xml:space="preserve"> </w:t>
      </w:r>
      <w:r>
        <w:t xml:space="preserve">Good Work Habits</w:t>
      </w:r>
      <w:r>
        <w:t xml:space="preserve"> </w:t>
      </w:r>
      <w:r>
        <w:t xml:space="preserve">in</w:t>
      </w:r>
      <w:r>
        <w:t xml:space="preserve"> </w:t>
      </w:r>
      <w:r>
        <w:t xml:space="preserve">Software Developers</w:t>
      </w:r>
      <w:r>
        <w:t xml:space="preserve"> </w:t>
      </w:r>
      <w:r>
        <w:t xml:space="preserve">Through</w:t>
      </w:r>
      <w:r>
        <w:t xml:space="preserve"> </w:t>
      </w:r>
      <w:r>
        <w:t xml:space="preserve">Reflective Goal-Setting</w:t>
      </w:r>
      <w:r>
        <w:t xml:space="preserve">.”</w:t>
      </w:r>
      <w:r>
        <w:t xml:space="preserve"> </w:t>
      </w:r>
      <w:r>
        <w:rPr>
          <w:i/>
          <w:iCs/>
        </w:rPr>
        <w:t xml:space="preserve">IEEE Transactions on Software Engineering</w:t>
      </w:r>
      <w:r>
        <w:t xml:space="preserve"> </w:t>
      </w:r>
      <w:r>
        <w:t xml:space="preserve">47 (9): 1872–85.</w:t>
      </w:r>
      <w:r>
        <w:t xml:space="preserve"> </w:t>
      </w:r>
      <w:hyperlink r:id="rId231">
        <w:r>
          <w:rPr>
            <w:rStyle w:val="Hyperlink"/>
          </w:rPr>
          <w:t xml:space="preserve">https://doi.org/10.1109/TSE.2019.2938525</w:t>
        </w:r>
      </w:hyperlink>
      <w:r>
        <w:t xml:space="preserve">.</w:t>
      </w:r>
    </w:p>
    <w:bookmarkEnd w:id="232"/>
    <w:bookmarkStart w:id="23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3">
        <w:r>
          <w:rPr>
            <w:rStyle w:val="Hyperlink"/>
          </w:rPr>
          <w:t xml:space="preserve">https://doi.org/10.1109/TSE.2019.2900308</w:t>
        </w:r>
      </w:hyperlink>
      <w:r>
        <w:t xml:space="preserve">.</w:t>
      </w:r>
    </w:p>
    <w:bookmarkEnd w:id="234"/>
    <w:bookmarkStart w:id="23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5">
        <w:r>
          <w:rPr>
            <w:rStyle w:val="Hyperlink"/>
          </w:rPr>
          <w:t xml:space="preserve">https://doi.org/10.1109/TSE.2009.18</w:t>
        </w:r>
      </w:hyperlink>
      <w:r>
        <w:t xml:space="preserve">.</w:t>
      </w:r>
    </w:p>
    <w:bookmarkEnd w:id="236"/>
    <w:bookmarkStart w:id="23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7"/>
    <w:bookmarkStart w:id="23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8">
        <w:r>
          <w:rPr>
            <w:rStyle w:val="Hyperlink"/>
          </w:rPr>
          <w:t xml:space="preserve">https://doi.org/10.1109/MS.2019.2908576</w:t>
        </w:r>
      </w:hyperlink>
      <w:r>
        <w:t xml:space="preserve">.</w:t>
      </w:r>
    </w:p>
    <w:bookmarkEnd w:id="239"/>
    <w:bookmarkStart w:id="241"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0">
        <w:r>
          <w:rPr>
            <w:rStyle w:val="Hyperlink"/>
          </w:rPr>
          <w:t xml:space="preserve">https://doi.org/10.3789/ansi.niso.z39.104-2022</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3"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3"/>
    <w:bookmarkStart w:id="27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4">
        <w:r>
          <w:rPr>
            <w:rStyle w:val="Hyperlink"/>
          </w:rPr>
          <w:t xml:space="preserve">https://doi.org/10.1145/3528579.3529177</w:t>
        </w:r>
      </w:hyperlink>
      <w:r>
        <w:t xml:space="preserve">.</w:t>
      </w:r>
    </w:p>
    <w:bookmarkEnd w:id="275"/>
    <w:bookmarkStart w:id="27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4">
        <w:r>
          <w:rPr>
            <w:rStyle w:val="Hyperlink"/>
          </w:rPr>
          <w:t xml:space="preserve">https://doi.org/10.1145/3528579.3529177</w:t>
        </w:r>
      </w:hyperlink>
      <w:r>
        <w:t xml:space="preserve">.</w:t>
      </w:r>
    </w:p>
    <w:bookmarkEnd w:id="276"/>
    <w:bookmarkStart w:id="27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7">
        <w:r>
          <w:rPr>
            <w:rStyle w:val="Hyperlink"/>
          </w:rPr>
          <w:t xml:space="preserve">https://doi.org/10.1109/TSE.2019.2944354</w:t>
        </w:r>
      </w:hyperlink>
      <w:r>
        <w:t xml:space="preserve">.</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7"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0"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7"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4"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3"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1"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4"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29" Target="https://doi.org/10.1109/TSE.2019.2904957" TargetMode="External" /><Relationship Type="http://schemas.openxmlformats.org/officeDocument/2006/relationships/hyperlink" Id="rId231" Target="https://doi.org/10.1109/TSE.2019.2938525" TargetMode="External" /><Relationship Type="http://schemas.openxmlformats.org/officeDocument/2006/relationships/hyperlink" Id="rId277" Target="https://doi.org/10.1109/TSE.2019.2944354" TargetMode="External" /><Relationship Type="http://schemas.openxmlformats.org/officeDocument/2006/relationships/hyperlink" Id="rId188"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2"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5"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7"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3" Target="https://doi.org/10.1177/2515245918771304" TargetMode="External" /><Relationship Type="http://schemas.openxmlformats.org/officeDocument/2006/relationships/hyperlink" Id="rId225"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1" Target="https://doi.org/10.21105/joss.02445" TargetMode="External" /><Relationship Type="http://schemas.openxmlformats.org/officeDocument/2006/relationships/hyperlink" Id="rId206" Target="https://doi.org/10.31234/osf.io/2gej5" TargetMode="External" /><Relationship Type="http://schemas.openxmlformats.org/officeDocument/2006/relationships/hyperlink" Id="rId200" Target="https://doi.org/10.31234/osf.io/qz43x" TargetMode="External" /><Relationship Type="http://schemas.openxmlformats.org/officeDocument/2006/relationships/hyperlink" Id="rId202"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09"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7"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0"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7"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4"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3"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1"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4"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29" Target="https://doi.org/10.1109/TSE.2019.2904957" TargetMode="External" /><Relationship Type="http://schemas.openxmlformats.org/officeDocument/2006/relationships/hyperlink" Id="rId231" Target="https://doi.org/10.1109/TSE.2019.2938525" TargetMode="External" /><Relationship Type="http://schemas.openxmlformats.org/officeDocument/2006/relationships/hyperlink" Id="rId277" Target="https://doi.org/10.1109/TSE.2019.2944354" TargetMode="External" /><Relationship Type="http://schemas.openxmlformats.org/officeDocument/2006/relationships/hyperlink" Id="rId188"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2"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5"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7"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3" Target="https://doi.org/10.1177/2515245918771304" TargetMode="External" /><Relationship Type="http://schemas.openxmlformats.org/officeDocument/2006/relationships/hyperlink" Id="rId225"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1" Target="https://doi.org/10.21105/joss.02445" TargetMode="External" /><Relationship Type="http://schemas.openxmlformats.org/officeDocument/2006/relationships/hyperlink" Id="rId206" Target="https://doi.org/10.31234/osf.io/2gej5" TargetMode="External" /><Relationship Type="http://schemas.openxmlformats.org/officeDocument/2006/relationships/hyperlink" Id="rId200" Target="https://doi.org/10.31234/osf.io/qz43x" TargetMode="External" /><Relationship Type="http://schemas.openxmlformats.org/officeDocument/2006/relationships/hyperlink" Id="rId202"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09"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2025-03-04T21:06:11Z</dcterms:created>
  <dcterms:modified xsi:type="dcterms:W3CDTF">2025-03-04T21:06:11Z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