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acterial-communities-on-classroom-surfaces"/>
    <w:p>
      <w:pPr>
        <w:pStyle w:val="Heading1"/>
      </w:pPr>
      <w:r>
        <w:t xml:space="preserve">Bacterial communities on classroom surfaces</w:t>
      </w:r>
    </w:p>
    <w:bookmarkEnd w:id="21"/>
    <w:bookmarkStart w:id="22" w:name="manuscript-demo"/>
    <w:p>
      <w:pPr>
        <w:pStyle w:val="Heading2"/>
      </w:pPr>
      <w:r>
        <w:t xml:space="preserve">Manuscript demo</w:t>
      </w:r>
    </w:p>
    <w:bookmarkEnd w:id="22"/>
    <w:p>
      <w:r>
        <w:rPr>
          <w:i/>
        </w:rPr>
        <w:t xml:space="preserve">James F Meadow</w:t>
      </w:r>
      <w:r>
        <w:rPr>
          <w:vertAlign w:val="superscript"/>
        </w:rPr>
        <w:t xml:space="preserve">1</w:t>
      </w:r>
    </w:p>
    <w:p>
      <w:r>
        <w:rPr>
          <w:vertAlign w:val="superscript"/>
        </w:rPr>
        <w:t xml:space="preserve">1</w:t>
      </w:r>
      <w:r>
        <w:t xml:space="preserve"> </w:t>
      </w:r>
      <w:r>
        <w:t xml:space="preserve">Biology and the Built Environment Center, Institute of Ecology and Evolution, University of Oregon, Eugene, OR USA, jfmeadow@gmail.com</w:t>
      </w:r>
    </w:p>
    <w:p>
      <w:r>
        <w:pict>
          <v:rect style="width:0;height:1.5pt" o:hralign="center" o:hrstd="t" o:hr="t"/>
        </w:pict>
      </w:r>
    </w:p>
    <w:bookmarkStart w:id="23" w:name="introduction"/>
    <w:p>
      <w:pPr>
        <w:pStyle w:val="Heading3"/>
      </w:pPr>
      <w:r>
        <w:t xml:space="preserve">Introduction</w:t>
      </w:r>
    </w:p>
    <w:bookmarkEnd w:id="23"/>
    <w:p>
      <w:r>
        <w:t xml:space="preserve">The data used here are a small subset (first 20,000 quality-filtered sequences) of those previously published</w:t>
      </w:r>
      <w:r>
        <w:t xml:space="preserve"> </w:t>
      </w:r>
      <w:r>
        <w:t xml:space="preserve">[1]</w:t>
      </w:r>
      <w:r>
        <w:t xml:space="preserve">. This demo illustrates a few basic multivariate analysis methods with a sample dataset. In the original manuscript, we investigated the sources of microbes on classroom surfaces, and whether those microbial communities reflect common human contact with indoor surfaces.</w:t>
      </w:r>
    </w:p>
    <w:bookmarkStart w:id="24" w:name="methods"/>
    <w:p>
      <w:pPr>
        <w:pStyle w:val="Heading3"/>
      </w:pPr>
      <w:r>
        <w:t xml:space="preserve">Methods</w:t>
      </w:r>
    </w:p>
    <w:bookmarkEnd w:id="24"/>
    <w:p>
      <w:r>
        <w:t xml:space="preserve">This sequence dataset was processed using QIIME 1.8</w:t>
      </w:r>
      <w:r>
        <w:t xml:space="preserve"> </w:t>
      </w:r>
      <w:r>
        <w:t xml:space="preserve">[2]</w:t>
      </w:r>
      <w:r>
        <w:t xml:space="preserve"> </w:t>
      </w:r>
      <w:r>
        <w:t xml:space="preserve">with a default MacQIIME installation (</w:t>
      </w:r>
      <w:hyperlink r:id="rId25">
        <w:r>
          <w:rPr>
            <w:rStyle w:val="Link"/>
          </w:rPr>
          <w:t xml:space="preserve">http://www.wernerlab.org/software/macqiime</w:t>
        </w:r>
      </w:hyperlink>
      <w:r>
        <w:t xml:space="preserve">). Scripts for processing raw data are in the</w:t>
      </w:r>
      <w:r>
        <w:t xml:space="preserve"> </w:t>
      </w:r>
      <w:r>
        <w:rPr>
          <w:rStyle w:val="VerbatimChar"/>
        </w:rPr>
        <w:t xml:space="preserve">../QIIME/</w:t>
      </w:r>
      <w:r>
        <w:t xml:space="preserve"> </w:t>
      </w:r>
      <w:r>
        <w:t xml:space="preserve">folder. To pick OTUs in that folder, you will execute the</w:t>
      </w:r>
      <w:r>
        <w:t xml:space="preserve"> </w:t>
      </w:r>
      <w:r>
        <w:rPr>
          <w:rStyle w:val="VerbatimChar"/>
        </w:rPr>
        <w:t xml:space="preserve">pickTheseOTUs.sh</w:t>
      </w:r>
      <w:r>
        <w:t xml:space="preserve"> </w:t>
      </w:r>
      <w:r>
        <w:t xml:space="preserve">script sitting in that folder. This script wants to run MacQIIME, so if you are not using MacQIIME, you'll need to alter the top line to reflect your system.</w:t>
      </w:r>
    </w:p>
    <w:p>
      <w:r>
        <w:t xml:space="preserve">For statistical analyses, we primiarily used the</w:t>
      </w:r>
      <w:r>
        <w:t xml:space="preserve"> </w:t>
      </w:r>
      <w:r>
        <w:rPr>
          <w:rStyle w:val="VerbatimChar"/>
        </w:rPr>
        <w:t xml:space="preserve">phyloseq</w:t>
      </w:r>
      <w:r>
        <w:t xml:space="preserve"> </w:t>
      </w:r>
      <w:r>
        <w:t xml:space="preserve">package to handle QIIME output files, and</w:t>
      </w:r>
      <w:r>
        <w:t xml:space="preserve"> </w:t>
      </w:r>
      <w:r>
        <w:rPr>
          <w:rStyle w:val="VerbatimChar"/>
        </w:rPr>
        <w:t xml:space="preserve">vegan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labdsv</w:t>
      </w:r>
      <w:r>
        <w:t xml:space="preserve"> </w:t>
      </w:r>
      <w:r>
        <w:t xml:space="preserve">for multivariate ecology stats</w:t>
      </w:r>
      <w:r>
        <w:t xml:space="preserve"> </w:t>
      </w:r>
      <w:r>
        <w:t xml:space="preserve">[3–5]</w:t>
      </w:r>
      <w:r>
        <w:t xml:space="preserve">. All sequences were rarefied to an equal sampling depth (100 sequences per sample) prior to analysis. Beta-diversity was calculated using the Canberra taxonomic metric. The Canberra metric is defined as:</w:t>
      </w:r>
      <w:r>
        <w:t xml:space="preserve"> </w:t>
      </w:r>
    </w:p>
    <w:p>
      <m:oMathPara>
        <m:oMathParaPr>
          <m:jc m:val="center"/>
        </m:oMathParaPr>
        <m:oMath>
          <m:sSub>
            <m:e>
              <m:r>
                <m:rPr/>
                <m:t>d</m:t>
              </m:r>
            </m:e>
            <m:sub>
              <m:r>
                <m:rPr/>
                <m:t>j</m:t>
              </m:r>
              <m:r>
                <m:rPr/>
                <m:t>k</m:t>
              </m:r>
            </m:sub>
          </m:sSub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N</m:t>
              </m:r>
              <m:r>
                <m:rPr/>
                <m:t>Z</m:t>
              </m:r>
            </m:den>
          </m:f>
          <m:r>
            <m:rPr/>
            <m:t>∑</m:t>
          </m:r>
          <m:f>
            <m:fPr>
              <m:type m:val="bar"/>
            </m:fPr>
            <m:num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k</m:t>
                  </m:r>
                </m:sub>
              </m:sSub>
            </m:num>
            <m:den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j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x</m:t>
                  </m:r>
                </m:e>
                <m:sub>
                  <m:r>
                    <m:rPr/>
                    <m:t>i</m:t>
                  </m:r>
                  <m:r>
                    <m:rPr/>
                    <m:t>k</m:t>
                  </m:r>
                </m:sub>
              </m:sSub>
            </m:den>
          </m:f>
        </m:oMath>
      </m:oMathPara>
    </w:p>
    <w:p>
      <w:r>
        <w:t xml:space="preserve"> </w:t>
      </w:r>
      <w:r>
        <w:t xml:space="preserve">where</w:t>
      </w:r>
      <w:r>
        <w:t xml:space="preserve"> </w:t>
      </w:r>
      <w:r>
        <w:rPr>
          <w:i/>
        </w:rPr>
        <w:t xml:space="preserve">NZ</w:t>
      </w:r>
      <w:r>
        <w:t xml:space="preserve"> </w:t>
      </w:r>
      <w:r>
        <w:t xml:space="preserve">is the number of non-zero entries. Reproducible documents were created with the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in R</w:t>
      </w:r>
      <w:r>
        <w:t xml:space="preserve"> </w:t>
      </w:r>
      <w:r>
        <w:t xml:space="preserve">[6]</w:t>
      </w:r>
      <w:r>
        <w:t xml:space="preserve">.</w:t>
      </w:r>
    </w:p>
    <w:bookmarkStart w:id="26" w:name="results"/>
    <w:p>
      <w:pPr>
        <w:pStyle w:val="Heading3"/>
      </w:pPr>
      <w:r>
        <w:t xml:space="preserve">Results</w:t>
      </w:r>
    </w:p>
    <w:bookmarkEnd w:id="26"/>
    <w:p>
      <w:r>
        <w:t xml:space="preserve">Out of a total 1.5923 × 10</w:t>
      </w:r>
      <w:r>
        <w:t xml:space="preserve">4</w:t>
      </w:r>
      <w:r>
        <w:t xml:space="preserve"> </w:t>
      </w:r>
      <w:r>
        <w:t xml:space="preserve">sequences that passed quality filtering, we analyzed 5800 sequences in 58 samples distributed among 966 OTUs (97% sequence similarity). The most abundant OTU in the dataset was a Cyanobacterium (2.67% of all sequences). The most abundant taxa are shown in Table 1.</w:t>
      </w:r>
      <w:r>
        <w:t xml:space="preserve"> </w:t>
      </w:r>
    </w:p>
    <w:p>
      <w:r>
        <w:drawing>
          <wp:inline>
            <wp:extent cx="7620000" cy="635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plotNMD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Samples cluster by the type of surface.</w:t>
      </w:r>
    </w:p>
    <w:p>
      <w:r>
        <w:t xml:space="preserve">We found that surface type explained a significant amount of community variation (p = 0.001; from PERMANOVA on Canberra distances).</w:t>
      </w:r>
    </w:p>
    <w:p>
      <w:r>
        <w:t xml:space="preserve">Next, we tested for a quasi-distance-decay relationship. This is the sort of pattern we see in just about every ecosystem with most forms of life. We even found this to be a stong predictor in the dust sampled from the entire building</w:t>
      </w:r>
      <w:r>
        <w:t xml:space="preserve"> </w:t>
      </w:r>
      <w:r>
        <w:t xml:space="preserve">[7]</w:t>
      </w:r>
      <w:r>
        <w:t xml:space="preserve">. So we can use the x and y coordinates as a map of samples, and then calculate the Euclidean pairwise distance between all samples. Then that goes through a mantel test to determine if these distance are correlated with the community distances.</w:t>
      </w:r>
    </w:p>
    <w:p>
      <w:r>
        <w:t xml:space="preserve">We did not find any significant coorelation between community similarity and spatial distance (p = 0.456; from Mantel test) when considering all samples together. Likewise, individual sample types tested alone showed no relationship with spatial distance (p &gt; 0.1 for all four sample types).</w:t>
      </w:r>
    </w:p>
    <w:bookmarkStart w:id="28" w:name="discussion"/>
    <w:p>
      <w:pPr>
        <w:pStyle w:val="Heading3"/>
      </w:pPr>
      <w:r>
        <w:t xml:space="preserve">Discussion</w:t>
      </w:r>
    </w:p>
    <w:bookmarkEnd w:id="28"/>
    <w:p>
      <w:r>
        <w:t xml:space="preserve">So it looks like the type of surface, potentially as a proxy for human contact, explains a significant amount of variation, in the microbial communities on those surfaces, but their proximity to each other around the room doesn't seem to matter at all.</w:t>
      </w:r>
    </w:p>
    <w:p/>
    <w:p>
      <w:r>
        <w:pict>
          <v:rect style="width:0;height:1.5pt" o:hralign="center" o:hrstd="t" o:hr="t"/>
        </w:pict>
      </w:r>
    </w:p>
    <w:bookmarkStart w:id="29" w:name="references"/>
    <w:p>
      <w:pPr>
        <w:pStyle w:val="Heading3"/>
      </w:pPr>
      <w:r>
        <w:t xml:space="preserve">References</w:t>
      </w:r>
    </w:p>
    <w:bookmarkEnd w:id="29"/>
    <w:p>
      <w:r>
        <w:t xml:space="preserve">1. Meadow JF, Altrichter AE, Kembel SW, Moriyama M, O’Connor TK, et al. (2014) Bacterial communities on classroom surfaces vary with human contact. Microbiome 2: 7.</w:t>
      </w:r>
    </w:p>
    <w:p>
      <w:r>
        <w:t xml:space="preserve">2. Caporaso JG, Kuczynski J, Stombaugh J, Bittinger K, Bushman FD, et al. (2010) QIIME allows analysis of high-throughput community sequencing data. Nature Methods 7: 335–336.</w:t>
      </w:r>
    </w:p>
    <w:p>
      <w:r>
        <w:t xml:space="preserve">3. McMurdie PJ, Holmes S (2013) phyloseq: an R package for reproducible interactive analysis and graphics of microbiome census data.. PloS one 8: e61217. Available:</w:t>
      </w:r>
      <w:r>
        <w:t xml:space="preserve"> </w:t>
      </w:r>
      <w:hyperlink r:id="rId30">
        <w:r>
          <w:rPr>
            <w:rStyle w:val="Link"/>
          </w:rPr>
          <w:t xml:space="preserve">http://dx.plos.org/10.1371/journal.pone.0061217</w:t>
        </w:r>
      </w:hyperlink>
      <w:r>
        <w:t xml:space="preserve">.</w:t>
      </w:r>
    </w:p>
    <w:p>
      <w:r>
        <w:t xml:space="preserve">4. Oksanen J, Blanchet FG, Kindt R, Legendre P, O’Hara RB, et al. (2011) vegan: Community Ecology Package. Available:</w:t>
      </w:r>
      <w:r>
        <w:t xml:space="preserve"> </w:t>
      </w:r>
      <w:hyperlink r:id="rId31">
        <w:r>
          <w:rPr>
            <w:rStyle w:val="Link"/>
          </w:rPr>
          <w:t xml:space="preserve">http://cran.r-project.org/package=vegan</w:t>
        </w:r>
      </w:hyperlink>
      <w:r>
        <w:t xml:space="preserve">.</w:t>
      </w:r>
    </w:p>
    <w:p>
      <w:r>
        <w:t xml:space="preserve">5. Roberts DW (2010) labdsv: Ordination and Multivariate Analysis for Ecology. Available:</w:t>
      </w:r>
      <w:r>
        <w:t xml:space="preserve"> </w:t>
      </w:r>
      <w:hyperlink r:id="rId32">
        <w:r>
          <w:rPr>
            <w:rStyle w:val="Link"/>
          </w:rPr>
          <w:t xml:space="preserve">http://cran.r-project.org/package=labdsv</w:t>
        </w:r>
      </w:hyperlink>
      <w:r>
        <w:t xml:space="preserve">.</w:t>
      </w:r>
    </w:p>
    <w:p>
      <w:r>
        <w:t xml:space="preserve">6. Xie Y (2013) knitr: A Comprehensive Tool for Reproducible Research in R. In: Stodden V, Leisch F, Peng RD, editors. Implementing Reproducible Computational Research. Chapman and Hall/CRC.. Available:</w:t>
      </w:r>
      <w:r>
        <w:t xml:space="preserve"> </w:t>
      </w:r>
      <w:hyperlink r:id="rId33">
        <w:r>
          <w:rPr>
            <w:rStyle w:val="Link"/>
          </w:rPr>
          <w:t xml:space="preserve">http://www.crcpress.com/product/isbn/9781466561595</w:t>
        </w:r>
      </w:hyperlink>
      <w:r>
        <w:t xml:space="preserve">.</w:t>
      </w:r>
    </w:p>
    <w:p>
      <w:r>
        <w:t xml:space="preserve">7. Kembel SW, Meadow JF, O’Connor TK, Mhuireach G, Northcutt D, et al. (2014) Architectural design drives the biogeography of indoor bacterial communities. PLOS ONE 9: e87093. doi:10.1371/journal.pone.0087093.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84b80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32" Target="http://cran.r-project.org/package=labdsv" TargetMode="External" /><Relationship Type="http://schemas.openxmlformats.org/officeDocument/2006/relationships/hyperlink" Id="rId31" Target="http://cran.r-project.org/package=vegan" TargetMode="External" /><Relationship Type="http://schemas.openxmlformats.org/officeDocument/2006/relationships/hyperlink" Id="rId30" Target="http://dx.plos.org/10.1371/journal.pone.0061217" TargetMode="External" /><Relationship Type="http://schemas.openxmlformats.org/officeDocument/2006/relationships/hyperlink" Id="rId33" Target="http://www.crcpress.com/product/isbn/9781466561595" TargetMode="External" /><Relationship Type="http://schemas.openxmlformats.org/officeDocument/2006/relationships/hyperlink" Id="rId25" Target="http://www.wernerlab.org/software/macqii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cran.r-project.org/package=labdsv" TargetMode="External" /><Relationship Type="http://schemas.openxmlformats.org/officeDocument/2006/relationships/hyperlink" Id="rId31" Target="http://cran.r-project.org/package=vegan" TargetMode="External" /><Relationship Type="http://schemas.openxmlformats.org/officeDocument/2006/relationships/hyperlink" Id="rId30" Target="http://dx.plos.org/10.1371/journal.pone.0061217" TargetMode="External" /><Relationship Type="http://schemas.openxmlformats.org/officeDocument/2006/relationships/hyperlink" Id="rId33" Target="http://www.crcpress.com/product/isbn/9781466561595" TargetMode="External" /><Relationship Type="http://schemas.openxmlformats.org/officeDocument/2006/relationships/hyperlink" Id="rId25" Target="http://www.wernerlab.org/software/macqii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