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acterial-communities-on-classroom-surfaces"/>
    <w:p>
      <w:pPr>
        <w:pStyle w:val="Heading1"/>
      </w:pPr>
      <w:r>
        <w:t xml:space="preserve">Bacterial communities on classroom surfaces</w:t>
      </w:r>
    </w:p>
    <w:bookmarkEnd w:id="21"/>
    <w:bookmarkStart w:id="22" w:name="report-demo"/>
    <w:p>
      <w:pPr>
        <w:pStyle w:val="Heading2"/>
      </w:pPr>
      <w:r>
        <w:t xml:space="preserve">Report demo</w:t>
      </w:r>
    </w:p>
    <w:bookmarkEnd w:id="22"/>
    <w:p>
      <w:r>
        <w:rPr>
          <w:i/>
        </w:rPr>
        <w:t xml:space="preserve">James F Meadow</w:t>
      </w:r>
      <w:r>
        <w:t xml:space="preserve"> </w:t>
      </w:r>
      <w:r>
        <w:t xml:space="preserve">(</w:t>
      </w:r>
      <w:r>
        <w:rPr>
          <w:rStyle w:val="VerbatimChar"/>
        </w:rPr>
        <w:t xml:space="preserve">jfmeadow at gmail dot com</w:t>
      </w:r>
      <w:r>
        <w:t xml:space="preserve">)</w:t>
      </w:r>
    </w:p>
    <w:p>
      <w:r>
        <w:t xml:space="preserve">The data used here are a small subset (first 20,000 quality-filtered sequences) of those used in Meadow et al. (2014,</w:t>
      </w:r>
      <w:r>
        <w:t xml:space="preserve"> </w:t>
      </w:r>
      <w:hyperlink r:id="rId23">
        <w:r>
          <w:rPr>
            <w:rStyle w:val="Link"/>
          </w:rPr>
          <w:t xml:space="preserve">Microbiome 2:7</w:t>
        </w:r>
      </w:hyperlink>
      <w:r>
        <w:t xml:space="preserve">).</w:t>
      </w:r>
    </w:p>
    <w:bookmarkStart w:id="24" w:name="sequence-processing"/>
    <w:p>
      <w:pPr>
        <w:pStyle w:val="Heading3"/>
      </w:pPr>
      <w:r>
        <w:t xml:space="preserve">Sequence processing</w:t>
      </w:r>
    </w:p>
    <w:bookmarkEnd w:id="24"/>
    <w:p>
      <w:r>
        <w:t xml:space="preserve">This sequence dataset was processed using QIIME 1.8 with a default MacQIIME installation</w:t>
      </w:r>
      <w:r>
        <w:t xml:space="preserve"> </w:t>
      </w:r>
      <w:hyperlink r:id="rId25">
        <w:r>
          <w:rPr>
            <w:rStyle w:val="Link"/>
          </w:rPr>
          <w:t xml:space="preserve">http://www.wernerlab.org/software/macqiime</w:t>
        </w:r>
      </w:hyperlink>
      <w:r>
        <w:t xml:space="preserve">. The script for processing raw data are in</w:t>
      </w:r>
      <w:r>
        <w:t xml:space="preserve"> </w:t>
      </w:r>
      <w:r>
        <w:rPr>
          <w:rStyle w:val="VerbatimChar"/>
        </w:rPr>
        <w:t xml:space="preserve">../QIIME/</w:t>
      </w:r>
      <w:r>
        <w:t xml:space="preserve"> </w:t>
      </w:r>
      <w:r>
        <w:t xml:space="preserve">folder. The script picks OTUs against a closed reference database (Greengenes). To pick OTUs in that folder, you will execute the</w:t>
      </w:r>
      <w:r>
        <w:t xml:space="preserve"> </w:t>
      </w:r>
      <w:r>
        <w:rPr>
          <w:rStyle w:val="VerbatimChar"/>
        </w:rPr>
        <w:t xml:space="preserve">pickTheseOTUs.sh</w:t>
      </w:r>
      <w:r>
        <w:t xml:space="preserve"> </w:t>
      </w:r>
      <w:r>
        <w:t xml:space="preserve">script sitting in that folder. This script wants to run MacQIIME, so if you are not using MacQIIME, you'll probably need to alter the top line. Since this is an interactive shell script, you'll want to do this step separately:</w:t>
      </w:r>
    </w:p>
    <w:p>
      <w:pPr>
        <w:pStyle w:val="SourceCode"/>
      </w:pPr>
      <w:r>
        <w:rPr>
          <w:rStyle w:val="VerbatimChar"/>
        </w:rPr>
        <w:t xml:space="preserve"># pick OTUs using the script in the QIIME folder. </w:t>
      </w:r>
      <w:r>
        <w:cr/>
      </w:r>
      <w:r>
        <w:rPr>
          <w:rStyle w:val="VerbatimChar"/>
        </w:rPr>
        <w:t xml:space="preserve">./pickTheseOTUs</w:t>
      </w:r>
    </w:p>
    <w:bookmarkStart w:id="26" w:name="getting-started-and-importing-data-to-r"/>
    <w:p>
      <w:pPr>
        <w:pStyle w:val="Heading3"/>
      </w:pPr>
      <w:r>
        <w:t xml:space="preserve">Getting started and importing data to R</w:t>
      </w:r>
    </w:p>
    <w:bookmarkEnd w:id="26"/>
    <w:p>
      <w:r>
        <w:t xml:space="preserve">To make things reproducible, the first step is to set the random number generator. R's random number generator is not actually random, but designed to look random while still being reproducible. Enter some integer - doesn't really matter what - in the</w:t>
      </w:r>
      <w:r>
        <w:t xml:space="preserve"> </w:t>
      </w:r>
      <w:r>
        <w:rPr>
          <w:rStyle w:val="VerbatimChar"/>
        </w:rPr>
        <w:t xml:space="preserve">set.seed</w:t>
      </w:r>
      <w:r>
        <w:t xml:space="preserve"> </w:t>
      </w:r>
      <w:r>
        <w:t xml:space="preserve">command, and the results should turn out identical each time.</w:t>
      </w:r>
    </w:p>
    <w:p>
      <w:pPr>
        <w:pStyle w:val="SourceCode"/>
      </w:pPr>
      <w:r>
        <w:rPr>
          <w:rStyle w:val="KeywordTok"/>
        </w:rPr>
        <w:t xml:space="preserve">set.seed</w:t>
      </w:r>
      <w:r>
        <w:rPr>
          <w:rStyle w:val="NormalTok"/>
        </w:rPr>
        <w:t xml:space="preserve">(</w:t>
      </w:r>
      <w:r>
        <w:rPr>
          <w:rStyle w:val="DecValTok"/>
        </w:rPr>
        <w:t xml:space="preserve">42</w:t>
      </w:r>
      <w:r>
        <w:rPr>
          <w:rStyle w:val="NormalTok"/>
        </w:rPr>
        <w:t xml:space="preserve">)</w:t>
      </w:r>
    </w:p>
    <w:p>
      <w:r>
        <w:t xml:space="preserve">Load</w:t>
      </w:r>
      <w:r>
        <w:t xml:space="preserve"> </w:t>
      </w:r>
      <w:r>
        <w:rPr>
          <w:rStyle w:val="VerbatimChar"/>
        </w:rPr>
        <w:t xml:space="preserve">phyloseq</w:t>
      </w:r>
      <w:r>
        <w:t xml:space="preserve"> </w:t>
      </w:r>
      <w:r>
        <w:t xml:space="preserve">to handle QIIME output files, and</w:t>
      </w:r>
      <w:r>
        <w:t xml:space="preserve"> </w:t>
      </w:r>
      <w:r>
        <w:rPr>
          <w:rStyle w:val="VerbatimChar"/>
        </w:rPr>
        <w:t xml:space="preserve">vegan</w:t>
      </w:r>
      <w:r>
        <w:t xml:space="preserve"> </w:t>
      </w:r>
      <w:r>
        <w:t xml:space="preserve">and</w:t>
      </w:r>
      <w:r>
        <w:t xml:space="preserve"> </w:t>
      </w:r>
      <w:r>
        <w:rPr>
          <w:rStyle w:val="VerbatimChar"/>
        </w:rPr>
        <w:t xml:space="preserve">labdsv</w:t>
      </w:r>
      <w:r>
        <w:t xml:space="preserve"> </w:t>
      </w:r>
      <w:r>
        <w:t xml:space="preserve">for multivariate ecology stats. Also load</w:t>
      </w:r>
      <w:r>
        <w:t xml:space="preserve"> </w:t>
      </w:r>
      <w:r>
        <w:rPr>
          <w:rStyle w:val="VerbatimChar"/>
        </w:rPr>
        <w:t xml:space="preserve">xtable</w:t>
      </w:r>
      <w:r>
        <w:t xml:space="preserve"> </w:t>
      </w:r>
      <w:r>
        <w:t xml:space="preserve">package to convert tables to latex or html.</w:t>
      </w:r>
    </w:p>
    <w:p>
      <w:pPr>
        <w:pStyle w:val="SourceCode"/>
      </w:pPr>
      <w:r>
        <w:rPr>
          <w:rStyle w:val="CommentTok"/>
        </w:rPr>
        <w:t xml:space="preserve"># setwd('~/Dropbox/SLP_Teaching/reportRmd')</w:t>
      </w:r>
      <w:r>
        <w:cr/>
      </w:r>
      <w:r>
        <w:rPr>
          <w:rStyle w:val="KeywordTok"/>
        </w:rPr>
        <w:t xml:space="preserve">library</w:t>
      </w:r>
      <w:r>
        <w:rPr>
          <w:rStyle w:val="NormalTok"/>
        </w:rPr>
        <w:t xml:space="preserve">(knitr)</w:t>
      </w:r>
      <w:r>
        <w:cr/>
      </w:r>
      <w:r>
        <w:rPr>
          <w:rStyle w:val="KeywordTok"/>
        </w:rPr>
        <w:t xml:space="preserve">library</w:t>
      </w:r>
      <w:r>
        <w:rPr>
          <w:rStyle w:val="NormalTok"/>
        </w:rPr>
        <w:t xml:space="preserve">(phyloseq)</w:t>
      </w:r>
      <w:r>
        <w:cr/>
      </w:r>
      <w:r>
        <w:rPr>
          <w:rStyle w:val="KeywordTok"/>
        </w:rPr>
        <w:t xml:space="preserve">library</w:t>
      </w:r>
      <w:r>
        <w:rPr>
          <w:rStyle w:val="NormalTok"/>
        </w:rPr>
        <w:t xml:space="preserve">(vegan)</w:t>
      </w:r>
      <w:r>
        <w:cr/>
      </w:r>
      <w:r>
        <w:rPr>
          <w:rStyle w:val="KeywordTok"/>
        </w:rPr>
        <w:t xml:space="preserve">library</w:t>
      </w:r>
      <w:r>
        <w:rPr>
          <w:rStyle w:val="NormalTok"/>
        </w:rPr>
        <w:t xml:space="preserve">(labdsv)</w:t>
      </w:r>
      <w:r>
        <w:cr/>
      </w:r>
      <w:r>
        <w:rPr>
          <w:rStyle w:val="KeywordTok"/>
        </w:rPr>
        <w:t xml:space="preserve">library</w:t>
      </w:r>
      <w:r>
        <w:rPr>
          <w:rStyle w:val="NormalTok"/>
        </w:rPr>
        <w:t xml:space="preserve">(xtable)</w:t>
      </w:r>
    </w:p>
    <w:p>
      <w:r>
        <w:t xml:space="preserve">First use the</w:t>
      </w:r>
      <w:r>
        <w:t xml:space="preserve"> </w:t>
      </w:r>
      <w:r>
        <w:rPr>
          <w:rStyle w:val="VerbatimChar"/>
        </w:rPr>
        <w:t xml:space="preserve">phyloseq</w:t>
      </w:r>
      <w:r>
        <w:t xml:space="preserve"> </w:t>
      </w:r>
      <w:r>
        <w:t xml:space="preserve">package to gracefully bring big QIIME/JSON-format dataset into R. This saves lots of code and testing, and also avoids having to change the file headers by hand.</w:t>
      </w:r>
    </w:p>
    <w:p>
      <w:pPr>
        <w:pStyle w:val="SourceCode"/>
      </w:pPr>
      <w:r>
        <w:rPr>
          <w:rStyle w:val="NormalTok"/>
        </w:rPr>
        <w:t xml:space="preserve">surfaceTablePhyloseq &lt;-</w:t>
      </w:r>
      <w:r>
        <w:rPr>
          <w:rStyle w:val="StringTok"/>
        </w:rPr>
        <w:t xml:space="preserve"> </w:t>
      </w:r>
      <w:r>
        <w:rPr>
          <w:rStyle w:val="KeywordTok"/>
        </w:rPr>
        <w:t xml:space="preserve">import_biom</w:t>
      </w:r>
      <w:r>
        <w:rPr>
          <w:rStyle w:val="NormalTok"/>
        </w:rPr>
        <w:t xml:space="preserve">(</w:t>
      </w:r>
      <w:r>
        <w:rPr>
          <w:rStyle w:val="StringTok"/>
        </w:rPr>
        <w:t xml:space="preserve">'../QIIME/otu_table.biom'</w:t>
      </w:r>
      <w:r>
        <w:rPr>
          <w:rStyle w:val="NormalTok"/>
        </w:rPr>
        <w:t xml:space="preserv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parseFunction=</w:t>
      </w:r>
      <w:r>
        <w:rPr>
          <w:rStyle w:val="NormalTok"/>
        </w:rPr>
        <w:t xml:space="preserve">parse_taxonomy_greengenes)</w:t>
      </w:r>
      <w:r>
        <w:cr/>
      </w:r>
      <w:r>
        <w:rPr>
          <w:rStyle w:val="NormalTok"/>
        </w:rPr>
        <w:t xml:space="preserve">surfaceMapPhyloseq &lt;-</w:t>
      </w:r>
      <w:r>
        <w:rPr>
          <w:rStyle w:val="StringTok"/>
        </w:rPr>
        <w:t xml:space="preserve"> </w:t>
      </w:r>
      <w:r>
        <w:rPr>
          <w:rStyle w:val="KeywordTok"/>
        </w:rPr>
        <w:t xml:space="preserve">import_qiime_sample_data</w:t>
      </w:r>
      <w:r>
        <w:rPr>
          <w:rStyle w:val="NormalTok"/>
        </w:rPr>
        <w:t xml:space="preserve">(</w:t>
      </w:r>
      <w:r>
        <w:rPr>
          <w:rStyle w:val="StringTok"/>
        </w:rPr>
        <w:t xml:space="preserve">'../QIIME/map.txt'</w:t>
      </w:r>
      <w:r>
        <w:rPr>
          <w:rStyle w:val="NormalTok"/>
        </w:rPr>
        <w:t xml:space="preserve">)</w:t>
      </w:r>
    </w:p>
    <w:p>
      <w:r>
        <w:t xml:space="preserve">Once</w:t>
      </w:r>
      <w:r>
        <w:t xml:space="preserve"> </w:t>
      </w:r>
      <w:r>
        <w:rPr>
          <w:rStyle w:val="VerbatimChar"/>
        </w:rPr>
        <w:t xml:space="preserve">phyloseq</w:t>
      </w:r>
      <w:r>
        <w:t xml:space="preserve"> </w:t>
      </w:r>
      <w:r>
        <w:t xml:space="preserve">has done the heavy lifting to input data, we can extract the parts we want. First is the OTU table. One sample gets excluded here since it was an internal control that is not used in this script. Then print out a bit to make sure it looks as expected.</w:t>
      </w:r>
    </w:p>
    <w:p>
      <w:pPr>
        <w:pStyle w:val="SourceCode"/>
      </w:pPr>
      <w:r>
        <w:rPr>
          <w:rStyle w:val="NormalTok"/>
        </w:rPr>
        <w:t xml:space="preserve">surfaceTable.tmp &lt;-</w:t>
      </w:r>
      <w:r>
        <w:rPr>
          <w:rStyle w:val="StringTok"/>
        </w:rPr>
        <w:t xml:space="preserve"> </w:t>
      </w:r>
      <w:r>
        <w:rPr>
          <w:rStyle w:val="KeywordTok"/>
        </w:rPr>
        <w:t xml:space="preserve">t</w:t>
      </w:r>
      <w:r>
        <w:rPr>
          <w:rStyle w:val="NormalTok"/>
        </w:rPr>
        <w:t xml:space="preserve">(</w:t>
      </w:r>
      <w:r>
        <w:rPr>
          <w:rStyle w:val="KeywordTok"/>
        </w:rPr>
        <w:t xml:space="preserve">otu_table</w:t>
      </w:r>
      <w:r>
        <w:rPr>
          <w:rStyle w:val="NormalTok"/>
        </w:rPr>
        <w:t xml:space="preserve">(surfaceTablePhyloseq))</w:t>
      </w:r>
      <w:r>
        <w:cr/>
      </w:r>
      <w:r>
        <w:rPr>
          <w:rStyle w:val="NormalTok"/>
        </w:rPr>
        <w:t xml:space="preserve">surfaceTable.tmp &lt;-</w:t>
      </w:r>
      <w:r>
        <w:rPr>
          <w:rStyle w:val="StringTok"/>
        </w:rPr>
        <w:t xml:space="preserve"> </w:t>
      </w:r>
      <w:r>
        <w:cr/>
      </w:r>
      <w:r>
        <w:rPr>
          <w:rStyle w:val="StringTok"/>
        </w:rPr>
        <w:t xml:space="preserve">  </w:t>
      </w:r>
      <w:r>
        <w:rPr>
          <w:rStyle w:val="NormalTok"/>
        </w:rPr>
        <w:t xml:space="preserve">surfaceTable.tmp[!(</w:t>
      </w:r>
      <w:r>
        <w:rPr>
          <w:rStyle w:val="KeywordTok"/>
        </w:rPr>
        <w:t xml:space="preserve">row.names</w:t>
      </w:r>
      <w:r>
        <w:rPr>
          <w:rStyle w:val="NormalTok"/>
        </w:rPr>
        <w:t xml:space="preserve">(surfaceTable.tmp) ==</w:t>
      </w:r>
      <w:r>
        <w:rPr>
          <w:rStyle w:val="StringTok"/>
        </w:rPr>
        <w:t xml:space="preserve">'Swab.162.61'</w:t>
      </w:r>
      <w:r>
        <w:rPr>
          <w:rStyle w:val="NormalTok"/>
        </w:rPr>
        <w:t xml:space="preserve">), ]</w:t>
      </w:r>
      <w:r>
        <w:cr/>
      </w:r>
      <w:r>
        <w:rPr>
          <w:rStyle w:val="NormalTok"/>
        </w:rPr>
        <w:t xml:space="preserve">surfaceTable &lt;-</w:t>
      </w:r>
      <w:r>
        <w:rPr>
          <w:rStyle w:val="StringTok"/>
        </w:rPr>
        <w:t xml:space="preserve"> </w:t>
      </w:r>
      <w:r>
        <w:rPr>
          <w:rStyle w:val="KeywordTok"/>
        </w:rPr>
        <w:t xml:space="preserve">as</w:t>
      </w:r>
      <w:r>
        <w:rPr>
          <w:rStyle w:val="NormalTok"/>
        </w:rPr>
        <w:t xml:space="preserve">(surfaceTable.tmp, </w:t>
      </w:r>
      <w:r>
        <w:rPr>
          <w:rStyle w:val="StringTok"/>
        </w:rPr>
        <w:t xml:space="preserve">'matrix'</w:t>
      </w:r>
      <w:r>
        <w:rPr>
          <w:rStyle w:val="NormalTok"/>
        </w:rPr>
        <w:t xml:space="preserve">)</w:t>
      </w:r>
      <w:r>
        <w:cr/>
      </w:r>
      <w:r>
        <w:rPr>
          <w:rStyle w:val="KeywordTok"/>
        </w:rPr>
        <w:t xml:space="preserve">kable</w:t>
      </w:r>
      <w:r>
        <w:rPr>
          <w:rStyle w:val="NormalTok"/>
        </w:rPr>
        <w:t xml:space="preserve">(surfaceTable[</w:t>
      </w:r>
      <w:r>
        <w:rPr>
          <w:rStyle w:val="DecValTok"/>
        </w:rPr>
        <w:t xml:space="preserve">1</w:t>
      </w:r>
      <w:r>
        <w:rPr>
          <w:rStyle w:val="NormalTok"/>
        </w:rPr>
        <w:t xml:space="preserve">:</w:t>
      </w:r>
      <w:r>
        <w:rPr>
          <w:rStyle w:val="DecValTok"/>
        </w:rPr>
        <w:t xml:space="preserve">5</w:t>
      </w:r>
      <w:r>
        <w:rPr>
          <w:rStyle w:val="NormalTok"/>
        </w:rPr>
        <w:t xml:space="preserve">, </w:t>
      </w:r>
      <w:r>
        <w:rPr>
          <w:rStyle w:val="DecValTok"/>
        </w:rPr>
        <w:t xml:space="preserve">1</w:t>
      </w:r>
      <w:r>
        <w:rPr>
          <w:rStyle w:val="NormalTok"/>
        </w:rPr>
        <w:t xml:space="preserve">:</w:t>
      </w:r>
      <w:r>
        <w:rPr>
          <w:rStyle w:val="DecValTok"/>
        </w:rPr>
        <w:t xml:space="preserve">5</w:t>
      </w:r>
      <w:r>
        <w:rPr>
          <w:rStyle w:val="NormalTok"/>
        </w:rPr>
        <w:t xml:space="preserve">])</w:t>
      </w:r>
    </w:p>
    <w:tbl>
      <w:tblPr>
        <w:tblStyle w:val="TableNormal"/>
      </w:tblPr>
      <w:tblGrid/>
      <w:tr>
        <w:tc>
          <w:tcPr>
            <w:tcBorders>
              <w:bottom w:val="single"/>
            </w:tcBorders>
            <w:vAlign w:val="bottom"/>
          </w:tcPr>
          <w:p>
            <w:pPr>
              <w:jc w:val="left"/>
            </w:pPr>
            <w:r>
              <w:t xml:space="preserve">id</w:t>
            </w:r>
          </w:p>
        </w:tc>
        <w:tc>
          <w:tcPr>
            <w:tcBorders>
              <w:bottom w:val="single"/>
            </w:tcBorders>
            <w:vAlign w:val="bottom"/>
          </w:tcPr>
          <w:p>
            <w:pPr>
              <w:jc w:val="right"/>
            </w:pPr>
            <w:r>
              <w:t xml:space="preserve">838843</w:t>
            </w:r>
          </w:p>
        </w:tc>
        <w:tc>
          <w:tcPr>
            <w:tcBorders>
              <w:bottom w:val="single"/>
            </w:tcBorders>
            <w:vAlign w:val="bottom"/>
          </w:tcPr>
          <w:p>
            <w:pPr>
              <w:jc w:val="right"/>
            </w:pPr>
            <w:r>
              <w:t xml:space="preserve">259732</w:t>
            </w:r>
          </w:p>
        </w:tc>
        <w:tc>
          <w:tcPr>
            <w:tcBorders>
              <w:bottom w:val="single"/>
            </w:tcBorders>
            <w:vAlign w:val="bottom"/>
          </w:tcPr>
          <w:p>
            <w:pPr>
              <w:jc w:val="right"/>
            </w:pPr>
            <w:r>
              <w:t xml:space="preserve">127012</w:t>
            </w:r>
          </w:p>
        </w:tc>
        <w:tc>
          <w:tcPr>
            <w:tcBorders>
              <w:bottom w:val="single"/>
            </w:tcBorders>
            <w:vAlign w:val="bottom"/>
          </w:tcPr>
          <w:p>
            <w:pPr>
              <w:jc w:val="right"/>
            </w:pPr>
            <w:r>
              <w:t xml:space="preserve">185100</w:t>
            </w:r>
          </w:p>
        </w:tc>
        <w:tc>
          <w:tcPr>
            <w:tcBorders>
              <w:bottom w:val="single"/>
            </w:tcBorders>
            <w:vAlign w:val="bottom"/>
          </w:tcPr>
          <w:p>
            <w:pPr>
              <w:jc w:val="right"/>
            </w:pPr>
            <w:r>
              <w:t xml:space="preserve">131115</w:t>
            </w:r>
          </w:p>
        </w:tc>
      </w:tr>
      <w:tr>
        <w:tc>
          <w:p>
            <w:pPr>
              <w:jc w:val="left"/>
            </w:pPr>
            <w:r>
              <w:t xml:space="preserve">Swab.162.9</w:t>
            </w:r>
          </w:p>
        </w:tc>
        <w:tc>
          <w:p>
            <w:pPr>
              <w:jc w:val="right"/>
            </w:pPr>
            <w:r>
              <w:t xml:space="preserve">1</w:t>
            </w:r>
          </w:p>
        </w:tc>
        <w:tc>
          <w:p>
            <w:pPr>
              <w:jc w:val="right"/>
            </w:pPr>
            <w:r>
              <w:t xml:space="preserve">0</w:t>
            </w:r>
          </w:p>
        </w:tc>
        <w:tc>
          <w:p>
            <w:pPr>
              <w:jc w:val="right"/>
            </w:pPr>
            <w:r>
              <w:t xml:space="preserve">0</w:t>
            </w:r>
          </w:p>
        </w:tc>
        <w:tc>
          <w:p>
            <w:pPr>
              <w:jc w:val="right"/>
            </w:pPr>
            <w:r>
              <w:t xml:space="preserve">0</w:t>
            </w:r>
          </w:p>
        </w:tc>
        <w:tc>
          <w:p>
            <w:pPr>
              <w:jc w:val="right"/>
            </w:pPr>
            <w:r>
              <w:t xml:space="preserve">0</w:t>
            </w:r>
          </w:p>
        </w:tc>
      </w:tr>
      <w:tr>
        <w:tc>
          <w:p>
            <w:pPr>
              <w:jc w:val="left"/>
            </w:pPr>
            <w:r>
              <w:t xml:space="preserve">Swab.162.58</w:t>
            </w:r>
          </w:p>
        </w:tc>
        <w:tc>
          <w:p>
            <w:pPr>
              <w:jc w:val="right"/>
            </w:pPr>
            <w:r>
              <w:t xml:space="preserve">1</w:t>
            </w:r>
          </w:p>
        </w:tc>
        <w:tc>
          <w:p>
            <w:pPr>
              <w:jc w:val="right"/>
            </w:pPr>
            <w:r>
              <w:t xml:space="preserve">0</w:t>
            </w:r>
          </w:p>
        </w:tc>
        <w:tc>
          <w:p>
            <w:pPr>
              <w:jc w:val="right"/>
            </w:pPr>
            <w:r>
              <w:t xml:space="preserve">0</w:t>
            </w:r>
          </w:p>
        </w:tc>
        <w:tc>
          <w:p>
            <w:pPr>
              <w:jc w:val="right"/>
            </w:pPr>
            <w:r>
              <w:t xml:space="preserve">0</w:t>
            </w:r>
          </w:p>
        </w:tc>
        <w:tc>
          <w:p>
            <w:pPr>
              <w:jc w:val="right"/>
            </w:pPr>
            <w:r>
              <w:t xml:space="preserve">0</w:t>
            </w:r>
          </w:p>
        </w:tc>
      </w:tr>
      <w:tr>
        <w:tc>
          <w:p>
            <w:pPr>
              <w:jc w:val="left"/>
            </w:pPr>
            <w:r>
              <w:t xml:space="preserve">Swab.162.5</w:t>
            </w:r>
          </w:p>
        </w:tc>
        <w:tc>
          <w:p>
            <w:pPr>
              <w:jc w:val="right"/>
            </w:pPr>
            <w:r>
              <w:t xml:space="preserve">1</w:t>
            </w:r>
          </w:p>
        </w:tc>
        <w:tc>
          <w:p>
            <w:pPr>
              <w:jc w:val="right"/>
            </w:pPr>
            <w:r>
              <w:t xml:space="preserve">0</w:t>
            </w:r>
          </w:p>
        </w:tc>
        <w:tc>
          <w:p>
            <w:pPr>
              <w:jc w:val="right"/>
            </w:pPr>
            <w:r>
              <w:t xml:space="preserve">0</w:t>
            </w:r>
          </w:p>
        </w:tc>
        <w:tc>
          <w:p>
            <w:pPr>
              <w:jc w:val="right"/>
            </w:pPr>
            <w:r>
              <w:t xml:space="preserve">0</w:t>
            </w:r>
          </w:p>
        </w:tc>
        <w:tc>
          <w:p>
            <w:pPr>
              <w:jc w:val="right"/>
            </w:pPr>
            <w:r>
              <w:t xml:space="preserve">0</w:t>
            </w:r>
          </w:p>
        </w:tc>
      </w:tr>
      <w:tr>
        <w:tc>
          <w:p>
            <w:pPr>
              <w:jc w:val="left"/>
            </w:pPr>
            <w:r>
              <w:t xml:space="preserve">Swab.162.16</w:t>
            </w:r>
          </w:p>
        </w:tc>
        <w:tc>
          <w:p>
            <w:pPr>
              <w:jc w:val="right"/>
            </w:pPr>
            <w:r>
              <w:t xml:space="preserve">0</w:t>
            </w:r>
          </w:p>
        </w:tc>
        <w:tc>
          <w:p>
            <w:pPr>
              <w:jc w:val="right"/>
            </w:pPr>
            <w:r>
              <w:t xml:space="preserve">1</w:t>
            </w:r>
          </w:p>
        </w:tc>
        <w:tc>
          <w:p>
            <w:pPr>
              <w:jc w:val="right"/>
            </w:pPr>
            <w:r>
              <w:t xml:space="preserve">0</w:t>
            </w:r>
          </w:p>
        </w:tc>
        <w:tc>
          <w:p>
            <w:pPr>
              <w:jc w:val="right"/>
            </w:pPr>
            <w:r>
              <w:t xml:space="preserve">0</w:t>
            </w:r>
          </w:p>
        </w:tc>
        <w:tc>
          <w:p>
            <w:pPr>
              <w:jc w:val="right"/>
            </w:pPr>
            <w:r>
              <w:t xml:space="preserve">0</w:t>
            </w:r>
          </w:p>
        </w:tc>
      </w:tr>
      <w:tr>
        <w:tc>
          <w:p>
            <w:pPr>
              <w:jc w:val="left"/>
            </w:pPr>
            <w:r>
              <w:t xml:space="preserve">Swab.162.20</w:t>
            </w:r>
          </w:p>
        </w:tc>
        <w:tc>
          <w:p>
            <w:pPr>
              <w:jc w:val="right"/>
            </w:pPr>
            <w:r>
              <w:t xml:space="preserve">0</w:t>
            </w:r>
          </w:p>
        </w:tc>
        <w:tc>
          <w:p>
            <w:pPr>
              <w:jc w:val="right"/>
            </w:pPr>
            <w:r>
              <w:t xml:space="preserve">1</w:t>
            </w:r>
          </w:p>
        </w:tc>
        <w:tc>
          <w:p>
            <w:pPr>
              <w:jc w:val="right"/>
            </w:pPr>
            <w:r>
              <w:t xml:space="preserve">0</w:t>
            </w:r>
          </w:p>
        </w:tc>
        <w:tc>
          <w:p>
            <w:pPr>
              <w:jc w:val="right"/>
            </w:pPr>
            <w:r>
              <w:t xml:space="preserve">0</w:t>
            </w:r>
          </w:p>
        </w:tc>
        <w:tc>
          <w:p>
            <w:pPr>
              <w:jc w:val="right"/>
            </w:pPr>
            <w:r>
              <w:t xml:space="preserve">0</w:t>
            </w:r>
          </w:p>
        </w:tc>
      </w:tr>
    </w:tbl>
    <w:p>
      <w:r>
        <w:t xml:space="preserve">Extract the mapping file. This was in QIIME format, so the comment line needs to be removed to take out out of its</w:t>
      </w:r>
      <w:r>
        <w:t xml:space="preserve"> </w:t>
      </w:r>
      <w:r>
        <w:rPr>
          <w:rStyle w:val="VerbatimChar"/>
        </w:rPr>
        <w:t xml:space="preserve">phyloseq</w:t>
      </w:r>
      <w:r>
        <w:t xml:space="preserve"> </w:t>
      </w:r>
      <w:r>
        <w:t xml:space="preserve">object. The output table is just the first three columns to make sure that the table looks ok.</w:t>
      </w:r>
    </w:p>
    <w:p>
      <w:pPr>
        <w:pStyle w:val="SourceCode"/>
      </w:pPr>
      <w:r>
        <w:rPr>
          <w:rStyle w:val="NormalTok"/>
        </w:rPr>
        <w:t xml:space="preserve">surfaceMap &lt;-</w:t>
      </w:r>
      <w:r>
        <w:rPr>
          <w:rStyle w:val="StringTok"/>
        </w:rPr>
        <w:t xml:space="preserve"> </w:t>
      </w:r>
      <w:r>
        <w:rPr>
          <w:rStyle w:val="KeywordTok"/>
        </w:rPr>
        <w:t xml:space="preserve">data.frame</w:t>
      </w:r>
      <w:r>
        <w:rPr>
          <w:rStyle w:val="NormalTok"/>
        </w:rPr>
        <w:t xml:space="preserve">(surfaceMapPhyloseq)[-</w:t>
      </w:r>
      <w:r>
        <w:rPr>
          <w:rStyle w:val="DecValTok"/>
        </w:rPr>
        <w:t xml:space="preserve">1</w:t>
      </w:r>
      <w:r>
        <w:rPr>
          <w:rStyle w:val="NormalTok"/>
        </w:rPr>
        <w:t xml:space="preserve">, ]</w:t>
      </w:r>
      <w:r>
        <w:cr/>
      </w:r>
      <w:r>
        <w:rPr>
          <w:rStyle w:val="KeywordTok"/>
        </w:rPr>
        <w:t xml:space="preserve">kable</w:t>
      </w:r>
      <w:r>
        <w:rPr>
          <w:rStyle w:val="NormalTok"/>
        </w:rPr>
        <w:t xml:space="preserve">(</w:t>
      </w:r>
      <w:r>
        <w:rPr>
          <w:rStyle w:val="KeywordTok"/>
        </w:rPr>
        <w:t xml:space="preserve">head</w:t>
      </w:r>
      <w:r>
        <w:rPr>
          <w:rStyle w:val="NormalTok"/>
        </w:rPr>
        <w:t xml:space="preserve">(surfaceMap[,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tbl>
      <w:tblPr>
        <w:tblStyle w:val="TableNormal"/>
      </w:tblPr>
      <w:tblGrid/>
      <w:tr>
        <w:tc>
          <w:tcPr>
            <w:tcBorders>
              <w:bottom w:val="single"/>
            </w:tcBorders>
            <w:vAlign w:val="bottom"/>
          </w:tcPr>
          <w:p>
            <w:pPr>
              <w:jc w:val="left"/>
            </w:pPr>
            <w:r>
              <w:t xml:space="preserve">id</w:t>
            </w:r>
          </w:p>
        </w:tc>
        <w:tc>
          <w:tcPr>
            <w:tcBorders>
              <w:bottom w:val="single"/>
            </w:tcBorders>
            <w:vAlign w:val="bottom"/>
          </w:tcPr>
          <w:p>
            <w:pPr>
              <w:jc w:val="left"/>
            </w:pPr>
            <w:r>
              <w:t xml:space="preserve">X.SampleID</w:t>
            </w:r>
          </w:p>
        </w:tc>
        <w:tc>
          <w:tcPr>
            <w:tcBorders>
              <w:bottom w:val="single"/>
            </w:tcBorders>
            <w:vAlign w:val="bottom"/>
          </w:tcPr>
          <w:p>
            <w:pPr>
              <w:jc w:val="left"/>
            </w:pPr>
            <w:r>
              <w:t xml:space="preserve">BarcodeSequence</w:t>
            </w:r>
          </w:p>
        </w:tc>
        <w:tc>
          <w:tcPr>
            <w:tcBorders>
              <w:bottom w:val="single"/>
            </w:tcBorders>
            <w:vAlign w:val="bottom"/>
          </w:tcPr>
          <w:p>
            <w:pPr>
              <w:jc w:val="left"/>
            </w:pPr>
            <w:r>
              <w:t xml:space="preserve">LinkerPrimerSequence</w:t>
            </w:r>
          </w:p>
        </w:tc>
      </w:tr>
      <w:tr>
        <w:tc>
          <w:p>
            <w:pPr>
              <w:jc w:val="left"/>
            </w:pPr>
            <w:r>
              <w:t xml:space="preserve">Swab.162.1</w:t>
            </w:r>
          </w:p>
        </w:tc>
        <w:tc>
          <w:p>
            <w:pPr>
              <w:jc w:val="left"/>
            </w:pPr>
            <w:r>
              <w:t xml:space="preserve">Swab.162.1</w:t>
            </w:r>
          </w:p>
        </w:tc>
        <w:tc>
          <w:p>
            <w:pPr>
              <w:jc w:val="left"/>
            </w:pPr>
            <w:r>
              <w:t xml:space="preserve">AGCTTACTAATG</w:t>
            </w:r>
          </w:p>
        </w:tc>
        <w:tc>
          <w:p>
            <w:pPr>
              <w:jc w:val="left"/>
            </w:pPr>
            <w:r>
              <w:t xml:space="preserve">TACNVGGGTATCTAATCC</w:t>
            </w:r>
          </w:p>
        </w:tc>
      </w:tr>
      <w:tr>
        <w:tc>
          <w:p>
            <w:pPr>
              <w:jc w:val="left"/>
            </w:pPr>
            <w:r>
              <w:t xml:space="preserve">Swab.162.2</w:t>
            </w:r>
          </w:p>
        </w:tc>
        <w:tc>
          <w:p>
            <w:pPr>
              <w:jc w:val="left"/>
            </w:pPr>
            <w:r>
              <w:t xml:space="preserve">Swab.162.2</w:t>
            </w:r>
          </w:p>
        </w:tc>
        <w:tc>
          <w:p>
            <w:pPr>
              <w:jc w:val="left"/>
            </w:pPr>
            <w:r>
              <w:t xml:space="preserve">AGCTTACTGTTA</w:t>
            </w:r>
          </w:p>
        </w:tc>
        <w:tc>
          <w:p>
            <w:pPr>
              <w:jc w:val="left"/>
            </w:pPr>
            <w:r>
              <w:t xml:space="preserve">TACNVGGGTATCTAATCC</w:t>
            </w:r>
          </w:p>
        </w:tc>
      </w:tr>
      <w:tr>
        <w:tc>
          <w:p>
            <w:pPr>
              <w:jc w:val="left"/>
            </w:pPr>
            <w:r>
              <w:t xml:space="preserve">Swab.162.3</w:t>
            </w:r>
          </w:p>
        </w:tc>
        <w:tc>
          <w:p>
            <w:pPr>
              <w:jc w:val="left"/>
            </w:pPr>
            <w:r>
              <w:t xml:space="preserve">Swab.162.3</w:t>
            </w:r>
          </w:p>
        </w:tc>
        <w:tc>
          <w:p>
            <w:pPr>
              <w:jc w:val="left"/>
            </w:pPr>
            <w:r>
              <w:t xml:space="preserve">AGCTTACATGTA</w:t>
            </w:r>
          </w:p>
        </w:tc>
        <w:tc>
          <w:p>
            <w:pPr>
              <w:jc w:val="left"/>
            </w:pPr>
            <w:r>
              <w:t xml:space="preserve">TACNVGGGTATCTAATCC</w:t>
            </w:r>
          </w:p>
        </w:tc>
      </w:tr>
      <w:tr>
        <w:tc>
          <w:p>
            <w:pPr>
              <w:jc w:val="left"/>
            </w:pPr>
            <w:r>
              <w:t xml:space="preserve">Swab.162.4</w:t>
            </w:r>
          </w:p>
        </w:tc>
        <w:tc>
          <w:p>
            <w:pPr>
              <w:jc w:val="left"/>
            </w:pPr>
            <w:r>
              <w:t xml:space="preserve">Swab.162.4</w:t>
            </w:r>
          </w:p>
        </w:tc>
        <w:tc>
          <w:p>
            <w:pPr>
              <w:jc w:val="left"/>
            </w:pPr>
            <w:r>
              <w:t xml:space="preserve">AGCTTACACATC</w:t>
            </w:r>
          </w:p>
        </w:tc>
        <w:tc>
          <w:p>
            <w:pPr>
              <w:jc w:val="left"/>
            </w:pPr>
            <w:r>
              <w:t xml:space="preserve">TACNVGGGTATCTAATCC</w:t>
            </w:r>
          </w:p>
        </w:tc>
      </w:tr>
      <w:tr>
        <w:tc>
          <w:p>
            <w:pPr>
              <w:jc w:val="left"/>
            </w:pPr>
            <w:r>
              <w:t xml:space="preserve">Swab.162.5</w:t>
            </w:r>
          </w:p>
        </w:tc>
        <w:tc>
          <w:p>
            <w:pPr>
              <w:jc w:val="left"/>
            </w:pPr>
            <w:r>
              <w:t xml:space="preserve">Swab.162.5</w:t>
            </w:r>
          </w:p>
        </w:tc>
        <w:tc>
          <w:p>
            <w:pPr>
              <w:jc w:val="left"/>
            </w:pPr>
            <w:r>
              <w:t xml:space="preserve">AGCTTACCTTAG</w:t>
            </w:r>
          </w:p>
        </w:tc>
        <w:tc>
          <w:p>
            <w:pPr>
              <w:jc w:val="left"/>
            </w:pPr>
            <w:r>
              <w:t xml:space="preserve">TACNVGGGTATCTAATCC</w:t>
            </w:r>
          </w:p>
        </w:tc>
      </w:tr>
      <w:tr>
        <w:tc>
          <w:p>
            <w:pPr>
              <w:jc w:val="left"/>
            </w:pPr>
            <w:r>
              <w:t xml:space="preserve">Swab.162.6</w:t>
            </w:r>
          </w:p>
        </w:tc>
        <w:tc>
          <w:p>
            <w:pPr>
              <w:jc w:val="left"/>
            </w:pPr>
            <w:r>
              <w:t xml:space="preserve">Swab.162.6</w:t>
            </w:r>
          </w:p>
        </w:tc>
        <w:tc>
          <w:p>
            <w:pPr>
              <w:jc w:val="left"/>
            </w:pPr>
            <w:r>
              <w:t xml:space="preserve">AGCTTACGACTA</w:t>
            </w:r>
          </w:p>
        </w:tc>
        <w:tc>
          <w:p>
            <w:pPr>
              <w:jc w:val="left"/>
            </w:pPr>
            <w:r>
              <w:t xml:space="preserve">TACNVGGGTATCTAATCC</w:t>
            </w:r>
          </w:p>
        </w:tc>
      </w:tr>
    </w:tbl>
    <w:p>
      <w:r>
        <w:t xml:space="preserve">The taxonomic assignments are embedded in the OTU table. The output is a really convenient table with OTU numeric IDs as row names. There is one</w:t>
      </w:r>
      <w:r>
        <w:t xml:space="preserve"> </w:t>
      </w:r>
      <w:r>
        <w:rPr>
          <w:rStyle w:val="VerbatimChar"/>
        </w:rPr>
        <w:t xml:space="preserve">for</w:t>
      </w:r>
      <w:r>
        <w:t xml:space="preserve"> </w:t>
      </w:r>
      <w:r>
        <w:t xml:space="preserve">loop to remove the factor baggage so that we can replace all NA's. The output table is shortened to see just a few taxonomic levels.</w:t>
      </w:r>
    </w:p>
    <w:p>
      <w:pPr>
        <w:pStyle w:val="SourceCode"/>
      </w:pPr>
      <w:r>
        <w:rPr>
          <w:rStyle w:val="NormalTok"/>
        </w:rPr>
        <w:t xml:space="preserve">surfaceTaxa &lt;-</w:t>
      </w:r>
      <w:r>
        <w:rPr>
          <w:rStyle w:val="StringTok"/>
        </w:rPr>
        <w:t xml:space="preserve"> </w:t>
      </w:r>
      <w:r>
        <w:rPr>
          <w:rStyle w:val="KeywordTok"/>
        </w:rPr>
        <w:t xml:space="preserve">data.frame</w:t>
      </w:r>
      <w:r>
        <w:rPr>
          <w:rStyle w:val="NormalTok"/>
        </w:rPr>
        <w:t xml:space="preserve">(</w:t>
      </w:r>
      <w:r>
        <w:rPr>
          <w:rStyle w:val="KeywordTok"/>
        </w:rPr>
        <w:t xml:space="preserve">tax_table</w:t>
      </w:r>
      <w:r>
        <w:rPr>
          <w:rStyle w:val="NormalTok"/>
        </w:rPr>
        <w:t xml:space="preserve">(surfaceTablePhyloseq))</w:t>
      </w:r>
      <w:r>
        <w:cr/>
      </w:r>
      <w:r>
        <w:rPr>
          <w:rStyle w:val="NormalTok"/>
        </w:rPr>
        <w:t xml:space="preserve">for (i in </w:t>
      </w:r>
      <w:r>
        <w:rPr>
          <w:rStyle w:val="DecValTok"/>
        </w:rPr>
        <w:t xml:space="preserve">1</w:t>
      </w:r>
      <w:r>
        <w:rPr>
          <w:rStyle w:val="NormalTok"/>
        </w:rPr>
        <w:t xml:space="preserve">:</w:t>
      </w:r>
      <w:r>
        <w:rPr>
          <w:rStyle w:val="KeywordTok"/>
        </w:rPr>
        <w:t xml:space="preserve">ncol</w:t>
      </w:r>
      <w:r>
        <w:rPr>
          <w:rStyle w:val="NormalTok"/>
        </w:rPr>
        <w:t xml:space="preserve">(surfaceTaxa)) {</w:t>
      </w:r>
      <w:r>
        <w:cr/>
      </w:r>
      <w:r>
        <w:rPr>
          <w:rStyle w:val="NormalTok"/>
        </w:rPr>
        <w:t xml:space="preserve"> </w:t>
      </w:r>
      <w:r>
        <w:rPr>
          <w:rStyle w:val="NormalTok"/>
        </w:rPr>
        <w:t xml:space="preserve"> </w:t>
      </w:r>
      <w:r>
        <w:rPr>
          <w:rStyle w:val="NormalTok"/>
        </w:rPr>
        <w:t xml:space="preserve">surfaceTaxa[, i] &lt;-</w:t>
      </w:r>
      <w:r>
        <w:rPr>
          <w:rStyle w:val="StringTok"/>
        </w:rPr>
        <w:t xml:space="preserve"> </w:t>
      </w:r>
      <w:r>
        <w:rPr>
          <w:rStyle w:val="KeywordTok"/>
        </w:rPr>
        <w:t xml:space="preserve">as.character</w:t>
      </w:r>
      <w:r>
        <w:rPr>
          <w:rStyle w:val="NormalTok"/>
        </w:rPr>
        <w:t xml:space="preserve">(surfaceTaxa[, i])</w:t>
      </w:r>
      <w:r>
        <w:cr/>
      </w:r>
      <w:r>
        <w:rPr>
          <w:rStyle w:val="NormalTok"/>
        </w:rPr>
        <w:t xml:space="preserve"> </w:t>
      </w:r>
      <w:r>
        <w:rPr>
          <w:rStyle w:val="NormalTok"/>
        </w:rPr>
        <w:t xml:space="preserve"> </w:t>
      </w:r>
      <w:r>
        <w:rPr>
          <w:rStyle w:val="NormalTok"/>
        </w:rPr>
        <w:t xml:space="preserve">surfaceTaxa[, i][</w:t>
      </w:r>
      <w:r>
        <w:rPr>
          <w:rStyle w:val="KeywordTok"/>
        </w:rPr>
        <w:t xml:space="preserve">is.na</w:t>
      </w:r>
      <w:r>
        <w:rPr>
          <w:rStyle w:val="NormalTok"/>
        </w:rPr>
        <w:t xml:space="preserve">(surfaceTaxa[, i])] &lt;-</w:t>
      </w:r>
      <w:r>
        <w:rPr>
          <w:rStyle w:val="StringTok"/>
        </w:rPr>
        <w:t xml:space="preserve"> '-'</w:t>
      </w:r>
      <w:r>
        <w:cr/>
      </w:r>
      <w:r>
        <w:rPr>
          <w:rStyle w:val="NormalTok"/>
        </w:rPr>
        <w:t xml:space="preserve"> </w:t>
      </w:r>
      <w:r>
        <w:rPr>
          <w:rStyle w:val="NormalTok"/>
        </w:rPr>
        <w:t xml:space="preserve"> </w:t>
      </w:r>
      <w:r>
        <w:rPr>
          <w:rStyle w:val="NormalTok"/>
        </w:rPr>
        <w:t xml:space="preserve">}</w:t>
      </w:r>
      <w:r>
        <w:cr/>
      </w:r>
      <w:r>
        <w:rPr>
          <w:rStyle w:val="KeywordTok"/>
        </w:rPr>
        <w:t xml:space="preserve">kable</w:t>
      </w:r>
      <w:r>
        <w:rPr>
          <w:rStyle w:val="NormalTok"/>
        </w:rPr>
        <w:t xml:space="preserve">(</w:t>
      </w:r>
      <w:r>
        <w:rPr>
          <w:rStyle w:val="KeywordTok"/>
        </w:rPr>
        <w:t xml:space="preserve">data.frame</w:t>
      </w:r>
      <w:r>
        <w:rPr>
          <w:rStyle w:val="NormalTok"/>
        </w:rPr>
        <w:t xml:space="preserve">(</w:t>
      </w:r>
      <w:r>
        <w:rPr>
          <w:rStyle w:val="KeywordTok"/>
        </w:rPr>
        <w:t xml:space="preserve">head</w:t>
      </w:r>
      <w:r>
        <w:rPr>
          <w:rStyle w:val="NormalTok"/>
        </w:rPr>
        <w:t xml:space="preserve">(surfaceTaxa)[,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5</w:t>
      </w:r>
      <w:r>
        <w:rPr>
          <w:rStyle w:val="NormalTok"/>
        </w:rPr>
        <w:t xml:space="preserve">:</w:t>
      </w:r>
      <w:r>
        <w:rPr>
          <w:rStyle w:val="DecValTok"/>
        </w:rPr>
        <w:t xml:space="preserve">7</w:t>
      </w:r>
      <w:r>
        <w:rPr>
          <w:rStyle w:val="NormalTok"/>
        </w:rPr>
        <w:t xml:space="preserve">)]))</w:t>
      </w:r>
    </w:p>
    <w:tbl>
      <w:tblPr>
        <w:tblStyle w:val="TableNormal"/>
      </w:tblPr>
      <w:tblGrid/>
      <w:tr>
        <w:tc>
          <w:tcPr>
            <w:tcBorders>
              <w:bottom w:val="single"/>
            </w:tcBorders>
            <w:vAlign w:val="bottom"/>
          </w:tcPr>
          <w:p>
            <w:pPr>
              <w:jc w:val="left"/>
            </w:pPr>
            <w:r>
              <w:t xml:space="preserve">id</w:t>
            </w:r>
          </w:p>
        </w:tc>
        <w:tc>
          <w:tcPr>
            <w:tcBorders>
              <w:bottom w:val="single"/>
            </w:tcBorders>
            <w:vAlign w:val="bottom"/>
          </w:tcPr>
          <w:p>
            <w:pPr>
              <w:jc w:val="left"/>
            </w:pPr>
            <w:r>
              <w:t xml:space="preserve">Phylum</w:t>
            </w:r>
          </w:p>
        </w:tc>
        <w:tc>
          <w:tcPr>
            <w:tcBorders>
              <w:bottom w:val="single"/>
            </w:tcBorders>
            <w:vAlign w:val="bottom"/>
          </w:tcPr>
          <w:p>
            <w:pPr>
              <w:jc w:val="left"/>
            </w:pPr>
            <w:r>
              <w:t xml:space="preserve">Family</w:t>
            </w:r>
          </w:p>
        </w:tc>
        <w:tc>
          <w:tcPr>
            <w:tcBorders>
              <w:bottom w:val="single"/>
            </w:tcBorders>
            <w:vAlign w:val="bottom"/>
          </w:tcPr>
          <w:p>
            <w:pPr>
              <w:jc w:val="left"/>
            </w:pPr>
            <w:r>
              <w:t xml:space="preserve">Genus</w:t>
            </w:r>
          </w:p>
        </w:tc>
        <w:tc>
          <w:tcPr>
            <w:tcBorders>
              <w:bottom w:val="single"/>
            </w:tcBorders>
            <w:vAlign w:val="bottom"/>
          </w:tcPr>
          <w:p>
            <w:pPr>
              <w:jc w:val="left"/>
            </w:pPr>
            <w:r>
              <w:t xml:space="preserve">Species</w:t>
            </w:r>
          </w:p>
        </w:tc>
      </w:tr>
      <w:tr>
        <w:tc>
          <w:p>
            <w:pPr>
              <w:jc w:val="left"/>
            </w:pPr>
            <w:r>
              <w:t xml:space="preserve">838843</w:t>
            </w:r>
          </w:p>
        </w:tc>
        <w:tc>
          <w:p>
            <w:pPr>
              <w:jc w:val="left"/>
            </w:pPr>
            <w:r>
              <w:t xml:space="preserve">Proteobacteria</w:t>
            </w:r>
          </w:p>
        </w:tc>
        <w:tc>
          <w:p>
            <w:pPr>
              <w:jc w:val="left"/>
            </w:pPr>
            <w:r>
              <w:t xml:space="preserve">Acetobacteraceae</w:t>
            </w:r>
          </w:p>
        </w:tc>
        <w:tc>
          <w:p>
            <w:pPr>
              <w:jc w:val="left"/>
            </w:pPr>
            <w:r>
              <w:t xml:space="preserve">-</w:t>
            </w:r>
          </w:p>
        </w:tc>
        <w:tc>
          <w:p>
            <w:pPr>
              <w:jc w:val="left"/>
            </w:pPr>
            <w:r>
              <w:t xml:space="preserve">-</w:t>
            </w:r>
          </w:p>
        </w:tc>
      </w:tr>
      <w:tr>
        <w:tc>
          <w:p>
            <w:pPr>
              <w:jc w:val="left"/>
            </w:pPr>
            <w:r>
              <w:t xml:space="preserve">259732</w:t>
            </w:r>
          </w:p>
        </w:tc>
        <w:tc>
          <w:p>
            <w:pPr>
              <w:jc w:val="left"/>
            </w:pPr>
            <w:r>
              <w:t xml:space="preserve">Proteobacteria</w:t>
            </w:r>
          </w:p>
        </w:tc>
        <w:tc>
          <w:p>
            <w:pPr>
              <w:jc w:val="left"/>
            </w:pPr>
            <w:r>
              <w:t xml:space="preserve">Caulobacteraceae</w:t>
            </w:r>
          </w:p>
        </w:tc>
        <w:tc>
          <w:p>
            <w:pPr>
              <w:jc w:val="left"/>
            </w:pPr>
            <w:r>
              <w:t xml:space="preserve">Brevundimonas</w:t>
            </w:r>
          </w:p>
        </w:tc>
        <w:tc>
          <w:p>
            <w:pPr>
              <w:jc w:val="left"/>
            </w:pPr>
            <w:r>
              <w:t xml:space="preserve">diminuta</w:t>
            </w:r>
          </w:p>
        </w:tc>
      </w:tr>
      <w:tr>
        <w:tc>
          <w:p>
            <w:pPr>
              <w:jc w:val="left"/>
            </w:pPr>
            <w:r>
              <w:t xml:space="preserve">127012</w:t>
            </w:r>
          </w:p>
        </w:tc>
        <w:tc>
          <w:p>
            <w:pPr>
              <w:jc w:val="left"/>
            </w:pPr>
            <w:r>
              <w:t xml:space="preserve">Bacteroidetes</w:t>
            </w:r>
          </w:p>
        </w:tc>
        <w:tc>
          <w:p>
            <w:pPr>
              <w:jc w:val="left"/>
            </w:pPr>
            <w:r>
              <w:t xml:space="preserve">Cytophagaceae</w:t>
            </w:r>
          </w:p>
        </w:tc>
        <w:tc>
          <w:p>
            <w:pPr>
              <w:jc w:val="left"/>
            </w:pPr>
            <w:r>
              <w:t xml:space="preserve">Hymenobacter</w:t>
            </w:r>
          </w:p>
        </w:tc>
        <w:tc>
          <w:p>
            <w:pPr>
              <w:jc w:val="left"/>
            </w:pPr>
            <w:r>
              <w:t xml:space="preserve">-</w:t>
            </w:r>
          </w:p>
        </w:tc>
      </w:tr>
      <w:tr>
        <w:tc>
          <w:p>
            <w:pPr>
              <w:jc w:val="left"/>
            </w:pPr>
            <w:r>
              <w:t xml:space="preserve">185100</w:t>
            </w:r>
          </w:p>
        </w:tc>
        <w:tc>
          <w:p>
            <w:pPr>
              <w:jc w:val="left"/>
            </w:pPr>
            <w:r>
              <w:t xml:space="preserve">Proteobacteria</w:t>
            </w:r>
          </w:p>
        </w:tc>
        <w:tc>
          <w:p>
            <w:pPr>
              <w:jc w:val="left"/>
            </w:pPr>
            <w:r>
              <w:t xml:space="preserve">Bacteriovoracaceae</w:t>
            </w:r>
          </w:p>
        </w:tc>
        <w:tc>
          <w:p>
            <w:pPr>
              <w:jc w:val="left"/>
            </w:pPr>
            <w:r>
              <w:t xml:space="preserve">-</w:t>
            </w:r>
          </w:p>
        </w:tc>
        <w:tc>
          <w:p>
            <w:pPr>
              <w:jc w:val="left"/>
            </w:pPr>
            <w:r>
              <w:t xml:space="preserve">-</w:t>
            </w:r>
          </w:p>
        </w:tc>
      </w:tr>
      <w:tr>
        <w:tc>
          <w:p>
            <w:pPr>
              <w:jc w:val="left"/>
            </w:pPr>
            <w:r>
              <w:t xml:space="preserve">131115</w:t>
            </w:r>
          </w:p>
        </w:tc>
        <w:tc>
          <w:p>
            <w:pPr>
              <w:jc w:val="left"/>
            </w:pPr>
            <w:r>
              <w:t xml:space="preserve">Proteobacteria</w:t>
            </w:r>
          </w:p>
        </w:tc>
        <w:tc>
          <w:p>
            <w:pPr>
              <w:jc w:val="left"/>
            </w:pPr>
            <w:r>
              <w:t xml:space="preserve">Moraxellaceae</w:t>
            </w:r>
          </w:p>
        </w:tc>
        <w:tc>
          <w:p>
            <w:pPr>
              <w:jc w:val="left"/>
            </w:pPr>
            <w:r>
              <w:t xml:space="preserve">Acinetobacter</w:t>
            </w:r>
          </w:p>
        </w:tc>
        <w:tc>
          <w:p>
            <w:pPr>
              <w:jc w:val="left"/>
            </w:pPr>
            <w:r>
              <w:t xml:space="preserve">rhizosphaerae</w:t>
            </w:r>
          </w:p>
        </w:tc>
      </w:tr>
      <w:tr>
        <w:tc>
          <w:p>
            <w:pPr>
              <w:jc w:val="left"/>
            </w:pPr>
            <w:r>
              <w:t xml:space="preserve">4375688</w:t>
            </w:r>
          </w:p>
        </w:tc>
        <w:tc>
          <w:p>
            <w:pPr>
              <w:jc w:val="left"/>
            </w:pPr>
            <w:r>
              <w:t xml:space="preserve">Proteobacteria</w:t>
            </w:r>
          </w:p>
        </w:tc>
        <w:tc>
          <w:p>
            <w:pPr>
              <w:jc w:val="left"/>
            </w:pPr>
            <w:r>
              <w:t xml:space="preserve">Campylobacteraceae</w:t>
            </w:r>
          </w:p>
        </w:tc>
        <w:tc>
          <w:p>
            <w:pPr>
              <w:jc w:val="left"/>
            </w:pPr>
            <w:r>
              <w:t xml:space="preserve">Campylobacter</w:t>
            </w:r>
          </w:p>
        </w:tc>
        <w:tc>
          <w:p>
            <w:pPr>
              <w:jc w:val="left"/>
            </w:pPr>
            <w:r>
              <w:t xml:space="preserve">-</w:t>
            </w:r>
          </w:p>
        </w:tc>
      </w:tr>
    </w:tbl>
    <w:bookmarkStart w:id="27" w:name="check-to-make-sure-things-line-up"/>
    <w:p>
      <w:pPr>
        <w:pStyle w:val="Heading3"/>
      </w:pPr>
      <w:r>
        <w:t xml:space="preserve">Check to make sure things line up</w:t>
      </w:r>
    </w:p>
    <w:bookmarkEnd w:id="27"/>
    <w:p>
      <w:r>
        <w:t xml:space="preserve">After extracting separate objects, a few quick tests to make sure everything looks as expected. R does not check to make sure row names match, so you always have to.</w:t>
      </w:r>
    </w:p>
    <w:p>
      <w:pPr>
        <w:pStyle w:val="SourceCode"/>
      </w:pPr>
      <w:r>
        <w:rPr>
          <w:rStyle w:val="KeywordTok"/>
        </w:rPr>
        <w:t xml:space="preserve">identical</w:t>
      </w:r>
      <w:r>
        <w:rPr>
          <w:rStyle w:val="NormalTok"/>
        </w:rPr>
        <w:t xml:space="preserve">(</w:t>
      </w:r>
      <w:r>
        <w:rPr>
          <w:rStyle w:val="KeywordTok"/>
        </w:rPr>
        <w:t xml:space="preserve">row.names</w:t>
      </w:r>
      <w:r>
        <w:rPr>
          <w:rStyle w:val="NormalTok"/>
        </w:rPr>
        <w:t xml:space="preserve">(surfaceTaxa), </w:t>
      </w:r>
      <w:r>
        <w:rPr>
          <w:rStyle w:val="KeywordTok"/>
        </w:rPr>
        <w:t xml:space="preserve">colnames</w:t>
      </w:r>
      <w:r>
        <w:rPr>
          <w:rStyle w:val="NormalTok"/>
        </w:rPr>
        <w:t xml:space="preserve">(surfaceTable))</w:t>
      </w:r>
    </w:p>
    <w:p>
      <w:pPr>
        <w:pStyle w:val="SourceCode"/>
      </w:pPr>
      <w:r>
        <w:rPr>
          <w:rStyle w:val="VerbatimChar"/>
        </w:rPr>
        <w:t xml:space="preserve">## [1] TRUE</w:t>
      </w:r>
    </w:p>
    <w:p>
      <w:r>
        <w:t xml:space="preserve">So all OTUs are present in both the OTU table and the taxonomic info table. And they are in the same order.</w:t>
      </w:r>
    </w:p>
    <w:p>
      <w:pPr>
        <w:pStyle w:val="SourceCode"/>
      </w:pPr>
      <w:r>
        <w:rPr>
          <w:rStyle w:val="KeywordTok"/>
        </w:rPr>
        <w:t xml:space="preserve">identical</w:t>
      </w:r>
      <w:r>
        <w:rPr>
          <w:rStyle w:val="NormalTok"/>
        </w:rPr>
        <w:t xml:space="preserve">(</w:t>
      </w:r>
      <w:r>
        <w:rPr>
          <w:rStyle w:val="KeywordTok"/>
        </w:rPr>
        <w:t xml:space="preserve">sort</w:t>
      </w:r>
      <w:r>
        <w:rPr>
          <w:rStyle w:val="NormalTok"/>
        </w:rPr>
        <w:t xml:space="preserve">(</w:t>
      </w:r>
      <w:r>
        <w:rPr>
          <w:rStyle w:val="KeywordTok"/>
        </w:rPr>
        <w:t xml:space="preserve">row.names</w:t>
      </w:r>
      <w:r>
        <w:rPr>
          <w:rStyle w:val="NormalTok"/>
        </w:rPr>
        <w:t xml:space="preserve">(surfaceMap)), </w:t>
      </w:r>
      <w:r>
        <w:rPr>
          <w:rStyle w:val="KeywordTok"/>
        </w:rPr>
        <w:t xml:space="preserve">sort</w:t>
      </w:r>
      <w:r>
        <w:rPr>
          <w:rStyle w:val="NormalTok"/>
        </w:rPr>
        <w:t xml:space="preserve">(</w:t>
      </w:r>
      <w:r>
        <w:rPr>
          <w:rStyle w:val="KeywordTok"/>
        </w:rPr>
        <w:t xml:space="preserve">row.names</w:t>
      </w:r>
      <w:r>
        <w:rPr>
          <w:rStyle w:val="NormalTok"/>
        </w:rPr>
        <w:t xml:space="preserve">(surfaceTable)))</w:t>
      </w:r>
    </w:p>
    <w:p>
      <w:pPr>
        <w:pStyle w:val="SourceCode"/>
      </w:pPr>
      <w:r>
        <w:rPr>
          <w:rStyle w:val="VerbatimChar"/>
        </w:rPr>
        <w:t xml:space="preserve">## [1] TRUE</w:t>
      </w:r>
    </w:p>
    <w:p>
      <w:r>
        <w:t xml:space="preserve">All of the row names in the mapping file also match with the row names of the OTU table. So all of the samples are there, but they are not in the same order - notice the</w:t>
      </w:r>
      <w:r>
        <w:t xml:space="preserve"> </w:t>
      </w:r>
      <w:r>
        <w:rPr>
          <w:rStyle w:val="VerbatimChar"/>
        </w:rPr>
        <w:t xml:space="preserve">sort</w:t>
      </w:r>
      <w:r>
        <w:t xml:space="preserve"> </w:t>
      </w:r>
      <w:r>
        <w:t xml:space="preserve">commands used above.</w:t>
      </w:r>
    </w:p>
    <w:p>
      <w:pPr>
        <w:pStyle w:val="SourceCode"/>
      </w:pPr>
      <w:r>
        <w:rPr>
          <w:rStyle w:val="KeywordTok"/>
        </w:rPr>
        <w:t xml:space="preserve">dim</w:t>
      </w:r>
      <w:r>
        <w:rPr>
          <w:rStyle w:val="NormalTok"/>
        </w:rPr>
        <w:t xml:space="preserve">(surfaceTaxa)</w:t>
      </w:r>
    </w:p>
    <w:p>
      <w:pPr>
        <w:pStyle w:val="SourceCode"/>
      </w:pPr>
      <w:r>
        <w:rPr>
          <w:rStyle w:val="VerbatimChar"/>
        </w:rPr>
        <w:t xml:space="preserve">## [1] 1675    7</w:t>
      </w:r>
    </w:p>
    <w:p>
      <w:pPr>
        <w:pStyle w:val="SourceCode"/>
      </w:pPr>
      <w:r>
        <w:rPr>
          <w:rStyle w:val="NormalTok"/>
        </w:rPr>
        <w:t xml:space="preserve">surfaceTaxa &lt;-</w:t>
      </w:r>
      <w:r>
        <w:rPr>
          <w:rStyle w:val="StringTok"/>
        </w:rPr>
        <w:t xml:space="preserve"> </w:t>
      </w:r>
      <w:r>
        <w:rPr>
          <w:rStyle w:val="NormalTok"/>
        </w:rPr>
        <w:t xml:space="preserve">surfaceTaxa[-</w:t>
      </w:r>
      <w:r>
        <w:rPr>
          <w:rStyle w:val="KeywordTok"/>
        </w:rPr>
        <w:t xml:space="preserve">c</w:t>
      </w:r>
      <w:r>
        <w:rPr>
          <w:rStyle w:val="NormalTok"/>
        </w:rPr>
        <w:t xml:space="preserve">(</w:t>
      </w:r>
      <w:r>
        <w:rPr>
          <w:rStyle w:val="KeywordTok"/>
        </w:rPr>
        <w:t xml:space="preserve">grep</w:t>
      </w:r>
      <w:r>
        <w:rPr>
          <w:rStyle w:val="NormalTok"/>
        </w:rPr>
        <w:t xml:space="preserve">(</w:t>
      </w:r>
      <w:r>
        <w:rPr>
          <w:rStyle w:val="StringTok"/>
        </w:rPr>
        <w:t xml:space="preserve">'mitochondria'</w:t>
      </w:r>
      <w:r>
        <w:rPr>
          <w:rStyle w:val="NormalTok"/>
        </w:rPr>
        <w:t xml:space="preserv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surfaceTaxa$Family)), ]</w:t>
      </w:r>
      <w:r>
        <w:cr/>
      </w:r>
      <w:r>
        <w:rPr>
          <w:rStyle w:val="NormalTok"/>
        </w:rPr>
        <w:t xml:space="preserve">surfaceTaxa &lt;-</w:t>
      </w:r>
      <w:r>
        <w:rPr>
          <w:rStyle w:val="StringTok"/>
        </w:rPr>
        <w:t xml:space="preserve"> </w:t>
      </w:r>
      <w:r>
        <w:rPr>
          <w:rStyle w:val="NormalTok"/>
        </w:rPr>
        <w:t xml:space="preserve">surfaceTaxa[-</w:t>
      </w:r>
      <w:r>
        <w:rPr>
          <w:rStyle w:val="KeywordTok"/>
        </w:rPr>
        <w:t xml:space="preserve">c</w:t>
      </w:r>
      <w:r>
        <w:rPr>
          <w:rStyle w:val="NormalTok"/>
        </w:rPr>
        <w:t xml:space="preserve">(</w:t>
      </w:r>
      <w:r>
        <w:rPr>
          <w:rStyle w:val="KeywordTok"/>
        </w:rPr>
        <w:t xml:space="preserve">grep</w:t>
      </w:r>
      <w:r>
        <w:rPr>
          <w:rStyle w:val="NormalTok"/>
        </w:rPr>
        <w:t xml:space="preserve">(</w:t>
      </w:r>
      <w:r>
        <w:rPr>
          <w:rStyle w:val="StringTok"/>
        </w:rPr>
        <w:t xml:space="preserve">'Chloroplast'</w:t>
      </w:r>
      <w:r>
        <w:rPr>
          <w:rStyle w:val="NormalTok"/>
        </w:rPr>
        <w:t xml:space="preserv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surfaceTaxa$Class)), ]</w:t>
      </w:r>
      <w:r>
        <w:cr/>
      </w:r>
      <w:r>
        <w:rPr>
          <w:rStyle w:val="NormalTok"/>
        </w:rPr>
        <w:t xml:space="preserve">surfaceTable &lt;-</w:t>
      </w:r>
      <w:r>
        <w:rPr>
          <w:rStyle w:val="StringTok"/>
        </w:rPr>
        <w:t xml:space="preserve"> </w:t>
      </w:r>
      <w:r>
        <w:rPr>
          <w:rStyle w:val="NormalTok"/>
        </w:rPr>
        <w:t xml:space="preserve">surfaceTable[, </w:t>
      </w:r>
      <w:r>
        <w:rPr>
          <w:rStyle w:val="KeywordTok"/>
        </w:rPr>
        <w:t xml:space="preserve">row.names</w:t>
      </w:r>
      <w:r>
        <w:rPr>
          <w:rStyle w:val="NormalTok"/>
        </w:rPr>
        <w:t xml:space="preserve">(surfaceTaxa)]</w:t>
      </w:r>
      <w:r>
        <w:cr/>
      </w:r>
      <w:r>
        <w:rPr>
          <w:rStyle w:val="KeywordTok"/>
        </w:rPr>
        <w:t xml:space="preserve">identical</w:t>
      </w:r>
      <w:r>
        <w:rPr>
          <w:rStyle w:val="NormalTok"/>
        </w:rPr>
        <w:t xml:space="preserve">(</w:t>
      </w:r>
      <w:r>
        <w:rPr>
          <w:rStyle w:val="KeywordTok"/>
        </w:rPr>
        <w:t xml:space="preserve">row.names</w:t>
      </w:r>
      <w:r>
        <w:rPr>
          <w:rStyle w:val="NormalTok"/>
        </w:rPr>
        <w:t xml:space="preserve">(surfaceTaxa), </w:t>
      </w:r>
      <w:r>
        <w:rPr>
          <w:rStyle w:val="KeywordTok"/>
        </w:rPr>
        <w:t xml:space="preserve">colnames</w:t>
      </w:r>
      <w:r>
        <w:rPr>
          <w:rStyle w:val="NormalTok"/>
        </w:rPr>
        <w:t xml:space="preserve">(surfaceTable))</w:t>
      </w:r>
    </w:p>
    <w:p>
      <w:pPr>
        <w:pStyle w:val="SourceCode"/>
      </w:pPr>
      <w:r>
        <w:rPr>
          <w:rStyle w:val="VerbatimChar"/>
        </w:rPr>
        <w:t xml:space="preserve">## [1] TRUE</w:t>
      </w:r>
    </w:p>
    <w:p>
      <w:pPr>
        <w:pStyle w:val="SourceCode"/>
      </w:pPr>
      <w:r>
        <w:rPr>
          <w:rStyle w:val="KeywordTok"/>
        </w:rPr>
        <w:t xml:space="preserve">dim</w:t>
      </w:r>
      <w:r>
        <w:rPr>
          <w:rStyle w:val="NormalTok"/>
        </w:rPr>
        <w:t xml:space="preserve">(surfaceTaxa)</w:t>
      </w:r>
    </w:p>
    <w:p>
      <w:pPr>
        <w:pStyle w:val="SourceCode"/>
      </w:pPr>
      <w:r>
        <w:rPr>
          <w:rStyle w:val="VerbatimChar"/>
        </w:rPr>
        <w:t xml:space="preserve">## [1] 1635    7</w:t>
      </w:r>
    </w:p>
    <w:bookmarkStart w:id="28" w:name="rarefy-to-even-sampling-depth"/>
    <w:p>
      <w:pPr>
        <w:pStyle w:val="Heading3"/>
      </w:pPr>
      <w:r>
        <w:t xml:space="preserve">Rarefy to even sampling depth</w:t>
      </w:r>
    </w:p>
    <w:bookmarkEnd w:id="28"/>
    <w:p>
      <w:r>
        <w:t xml:space="preserve">Add up observations in each sample. For analysis like this, we should rarefy to even sampling depth so some samples are not biased just by having more or fewer observations.</w:t>
      </w:r>
    </w:p>
    <w:p>
      <w:pPr>
        <w:pStyle w:val="SourceCode"/>
      </w:pPr>
      <w:r>
        <w:rPr>
          <w:rStyle w:val="KeywordTok"/>
        </w:rPr>
        <w:t xml:space="preserve">sort</w:t>
      </w:r>
      <w:r>
        <w:rPr>
          <w:rStyle w:val="NormalTok"/>
        </w:rPr>
        <w:t xml:space="preserve">(</w:t>
      </w:r>
      <w:r>
        <w:rPr>
          <w:rStyle w:val="KeywordTok"/>
        </w:rPr>
        <w:t xml:space="preserve">rowSums</w:t>
      </w:r>
      <w:r>
        <w:rPr>
          <w:rStyle w:val="NormalTok"/>
        </w:rPr>
        <w:t xml:space="preserve">(surfaceTable), </w:t>
      </w:r>
      <w:r>
        <w:rPr>
          <w:rStyle w:val="DataTypeTok"/>
        </w:rPr>
        <w:t xml:space="preserve">decreasing=</w:t>
      </w:r>
      <w:r>
        <w:rPr>
          <w:rStyle w:val="OtherTok"/>
        </w:rPr>
        <w:t xml:space="preserve">FALSE</w:t>
      </w:r>
      <w:r>
        <w:rPr>
          <w:rStyle w:val="NormalTok"/>
        </w:rPr>
        <w:t xml:space="preserve">)</w:t>
      </w:r>
    </w:p>
    <w:p>
      <w:pPr>
        <w:pStyle w:val="SourceCode"/>
      </w:pPr>
      <w:r>
        <w:rPr>
          <w:rStyle w:val="VerbatimChar"/>
        </w:rPr>
        <w:t xml:space="preserve">##  Swab.162.1  Swab.162.2  Swab.162.7  Swab.162.3  Swab.162.6 Swab.162.26 </w:t>
      </w:r>
      <w:r>
        <w:cr/>
      </w:r>
      <w:r>
        <w:rPr>
          <w:rStyle w:val="VerbatimChar"/>
        </w:rPr>
        <w:t xml:space="preserve">##          54          80         107         109         120         121 </w:t>
      </w:r>
      <w:r>
        <w:cr/>
      </w:r>
      <w:r>
        <w:rPr>
          <w:rStyle w:val="VerbatimChar"/>
        </w:rPr>
        <w:t xml:space="preserve">## Swab.162.31 Swab.162.38 Swab.162.43 Swab.162.27  Swab.162.5  Swab.162.4 </w:t>
      </w:r>
      <w:r>
        <w:cr/>
      </w:r>
      <w:r>
        <w:rPr>
          <w:rStyle w:val="VerbatimChar"/>
        </w:rPr>
        <w:t xml:space="preserve">##         125         133         137         159         175         176 </w:t>
      </w:r>
      <w:r>
        <w:cr/>
      </w:r>
      <w:r>
        <w:rPr>
          <w:rStyle w:val="VerbatimChar"/>
        </w:rPr>
        <w:t xml:space="preserve">## Swab.162.22  Swab.162.8 Swab.162.25 Swab.162.19 Swab.162.23 Swab.162.35 </w:t>
      </w:r>
      <w:r>
        <w:cr/>
      </w:r>
      <w:r>
        <w:rPr>
          <w:rStyle w:val="VerbatimChar"/>
        </w:rPr>
        <w:t xml:space="preserve">##         184         187         188         193         195         200 </w:t>
      </w:r>
      <w:r>
        <w:cr/>
      </w:r>
      <w:r>
        <w:rPr>
          <w:rStyle w:val="VerbatimChar"/>
        </w:rPr>
        <w:t xml:space="preserve">## Swab.162.30 Swab.162.29 Swab.162.32 Swab.162.42 Swab.162.58 Swab.162.51 </w:t>
      </w:r>
      <w:r>
        <w:cr/>
      </w:r>
      <w:r>
        <w:rPr>
          <w:rStyle w:val="VerbatimChar"/>
        </w:rPr>
        <w:t xml:space="preserve">##         207         208         230         236         240         241 </w:t>
      </w:r>
      <w:r>
        <w:cr/>
      </w:r>
      <w:r>
        <w:rPr>
          <w:rStyle w:val="VerbatimChar"/>
        </w:rPr>
        <w:t xml:space="preserve">## Swab.162.18 Swab.162.59 Swab.162.17 Swab.162.28 Swab.162.56 Swab.162.34 </w:t>
      </w:r>
      <w:r>
        <w:cr/>
      </w:r>
      <w:r>
        <w:rPr>
          <w:rStyle w:val="VerbatimChar"/>
        </w:rPr>
        <w:t xml:space="preserve">##         251         259         260         265         265         267 </w:t>
      </w:r>
      <w:r>
        <w:cr/>
      </w:r>
      <w:r>
        <w:rPr>
          <w:rStyle w:val="VerbatimChar"/>
        </w:rPr>
        <w:t xml:space="preserve">## Swab.162.41 Swab.162.10 Swab.162.36 Swab.162.40 Swab.162.49 Swab.162.57 </w:t>
      </w:r>
      <w:r>
        <w:cr/>
      </w:r>
      <w:r>
        <w:rPr>
          <w:rStyle w:val="VerbatimChar"/>
        </w:rPr>
        <w:t xml:space="preserve">##         269         270         275         276         286         290 </w:t>
      </w:r>
      <w:r>
        <w:cr/>
      </w:r>
      <w:r>
        <w:rPr>
          <w:rStyle w:val="VerbatimChar"/>
        </w:rPr>
        <w:t xml:space="preserve">## Swab.162.33 Swab.162.21 Swab.162.37 Swab.162.45 Swab.162.44 Swab.162.47 </w:t>
      </w:r>
      <w:r>
        <w:cr/>
      </w:r>
      <w:r>
        <w:rPr>
          <w:rStyle w:val="VerbatimChar"/>
        </w:rPr>
        <w:t xml:space="preserve">##         299         306         307         321         321         326 </w:t>
      </w:r>
      <w:r>
        <w:cr/>
      </w:r>
      <w:r>
        <w:rPr>
          <w:rStyle w:val="VerbatimChar"/>
        </w:rPr>
        <w:t xml:space="preserve">##  Swab.162.9 Swab.162.46 Swab.162.24 Swab.162.55 Swab.162.39 Swab.162.20 </w:t>
      </w:r>
      <w:r>
        <w:cr/>
      </w:r>
      <w:r>
        <w:rPr>
          <w:rStyle w:val="VerbatimChar"/>
        </w:rPr>
        <w:t xml:space="preserve">##         329         334         340         346         349         351 </w:t>
      </w:r>
      <w:r>
        <w:cr/>
      </w:r>
      <w:r>
        <w:rPr>
          <w:rStyle w:val="VerbatimChar"/>
        </w:rPr>
        <w:t xml:space="preserve">## Swab.162.12 Swab.162.11 Swab.162.60 Swab.162.50 Swab.162.15 Swab.162.54 </w:t>
      </w:r>
      <w:r>
        <w:cr/>
      </w:r>
      <w:r>
        <w:rPr>
          <w:rStyle w:val="VerbatimChar"/>
        </w:rPr>
        <w:t xml:space="preserve">##         353         361         367         371         371         371 </w:t>
      </w:r>
      <w:r>
        <w:cr/>
      </w:r>
      <w:r>
        <w:rPr>
          <w:rStyle w:val="VerbatimChar"/>
        </w:rPr>
        <w:t xml:space="preserve">## Swab.162.14 Swab.162.13 Swab.162.52 Swab.162.48 Swab.162.53 Swab.162.16 </w:t>
      </w:r>
      <w:r>
        <w:cr/>
      </w:r>
      <w:r>
        <w:rPr>
          <w:rStyle w:val="VerbatimChar"/>
        </w:rPr>
        <w:t xml:space="preserve">##         372         397         457         459         469         542</w:t>
      </w:r>
    </w:p>
    <w:p>
      <w:r>
        <w:t xml:space="preserve">It looks like we can cut them all off at 100 sequences, and not lose any samples to rarefaction. The other nice thing is that the counts in each cell double as percent counts.</w:t>
      </w:r>
    </w:p>
    <w:p>
      <w:pPr>
        <w:pStyle w:val="SourceCode"/>
      </w:pPr>
      <w:r>
        <w:rPr>
          <w:rStyle w:val="NormalTok"/>
        </w:rPr>
        <w:t xml:space="preserve">surfaceTable &lt;-</w:t>
      </w:r>
      <w:r>
        <w:rPr>
          <w:rStyle w:val="StringTok"/>
        </w:rPr>
        <w:t xml:space="preserve"> </w:t>
      </w:r>
      <w:r>
        <w:rPr>
          <w:rStyle w:val="NormalTok"/>
        </w:rPr>
        <w:t xml:space="preserve">surfaceTable[</w:t>
      </w:r>
      <w:r>
        <w:rPr>
          <w:rStyle w:val="KeywordTok"/>
        </w:rPr>
        <w:t xml:space="preserve">which</w:t>
      </w:r>
      <w:r>
        <w:rPr>
          <w:rStyle w:val="NormalTok"/>
        </w:rPr>
        <w:t xml:space="preserve">(</w:t>
      </w:r>
      <w:r>
        <w:rPr>
          <w:rStyle w:val="KeywordTok"/>
        </w:rPr>
        <w:t xml:space="preserve">rowSums</w:t>
      </w:r>
      <w:r>
        <w:rPr>
          <w:rStyle w:val="NormalTok"/>
        </w:rPr>
        <w:t xml:space="preserve">(surfaceTable) &gt;</w:t>
      </w:r>
      <w:r>
        <w:rPr>
          <w:rStyle w:val="StringTok"/>
        </w:rPr>
        <w:t xml:space="preserve"> </w:t>
      </w:r>
      <w:r>
        <w:rPr>
          <w:rStyle w:val="DecValTok"/>
        </w:rPr>
        <w:t xml:space="preserve">100</w:t>
      </w:r>
      <w:r>
        <w:rPr>
          <w:rStyle w:val="NormalTok"/>
        </w:rPr>
        <w:t xml:space="preserve">), ]</w:t>
      </w:r>
      <w:r>
        <w:cr/>
      </w:r>
      <w:r>
        <w:rPr>
          <w:rStyle w:val="NormalTok"/>
        </w:rPr>
        <w:t xml:space="preserve">tab &lt;-</w:t>
      </w:r>
      <w:r>
        <w:rPr>
          <w:rStyle w:val="StringTok"/>
        </w:rPr>
        <w:t xml:space="preserve"> </w:t>
      </w:r>
      <w:r>
        <w:rPr>
          <w:rStyle w:val="KeywordTok"/>
        </w:rPr>
        <w:t xml:space="preserve">rrarefy</w:t>
      </w:r>
      <w:r>
        <w:rPr>
          <w:rStyle w:val="NormalTok"/>
        </w:rPr>
        <w:t xml:space="preserve">(surfaceTable, </w:t>
      </w:r>
      <w:r>
        <w:rPr>
          <w:rStyle w:val="DecValTok"/>
        </w:rPr>
        <w:t xml:space="preserve">100</w:t>
      </w:r>
      <w:r>
        <w:rPr>
          <w:rStyle w:val="NormalTok"/>
        </w:rPr>
        <w:t xml:space="preserve">)</w:t>
      </w:r>
    </w:p>
    <w:bookmarkStart w:id="29" w:name="fix-a-few-things-in-the-mapping-table-and-sort-by-sample-name"/>
    <w:p>
      <w:pPr>
        <w:pStyle w:val="Heading3"/>
      </w:pPr>
      <w:r>
        <w:t xml:space="preserve">Fix a few things in the mapping table, and sort by sample name</w:t>
      </w:r>
    </w:p>
    <w:bookmarkEnd w:id="29"/>
    <w:p>
      <w:r>
        <w:t xml:space="preserve">Since the OTU table is sorted out for now, the map, or metadata table, can be sorted by the row names of the OTU table. Then colors get added by name for easy plotting later.</w:t>
      </w:r>
    </w:p>
    <w:p>
      <w:pPr>
        <w:pStyle w:val="SourceCode"/>
      </w:pPr>
      <w:r>
        <w:rPr>
          <w:rStyle w:val="NormalTok"/>
        </w:rPr>
        <w:t xml:space="preserve">map &lt;-</w:t>
      </w:r>
      <w:r>
        <w:rPr>
          <w:rStyle w:val="StringTok"/>
        </w:rPr>
        <w:t xml:space="preserve"> </w:t>
      </w:r>
      <w:r>
        <w:rPr>
          <w:rStyle w:val="NormalTok"/>
        </w:rPr>
        <w:t xml:space="preserve">surfaceMap[</w:t>
      </w:r>
      <w:r>
        <w:rPr>
          <w:rStyle w:val="KeywordTok"/>
        </w:rPr>
        <w:t xml:space="preserve">row.names</w:t>
      </w:r>
      <w:r>
        <w:rPr>
          <w:rStyle w:val="NormalTok"/>
        </w:rPr>
        <w:t xml:space="preserve">(tab), ]</w:t>
      </w:r>
      <w:r>
        <w:cr/>
      </w:r>
      <w:r>
        <w:rPr>
          <w:rStyle w:val="NormalTok"/>
        </w:rPr>
        <w:t xml:space="preserve">map$color &lt;-</w:t>
      </w:r>
      <w:r>
        <w:rPr>
          <w:rStyle w:val="StringTok"/>
        </w:rPr>
        <w:t xml:space="preserve"> 'wheat'</w:t>
      </w:r>
      <w:r>
        <w:cr/>
      </w:r>
      <w:r>
        <w:rPr>
          <w:rStyle w:val="NormalTok"/>
        </w:rPr>
        <w:t xml:space="preserve">map$color[map$SurfaceType ==</w:t>
      </w:r>
      <w:r>
        <w:rPr>
          <w:rStyle w:val="StringTok"/>
        </w:rPr>
        <w:t xml:space="preserve"> 'floor'</w:t>
      </w:r>
      <w:r>
        <w:rPr>
          <w:rStyle w:val="NormalTok"/>
        </w:rPr>
        <w:t xml:space="preserve">] &lt;-</w:t>
      </w:r>
      <w:r>
        <w:rPr>
          <w:rStyle w:val="StringTok"/>
        </w:rPr>
        <w:t xml:space="preserve"> 'chocolate3'</w:t>
      </w:r>
      <w:r>
        <w:cr/>
      </w:r>
      <w:r>
        <w:rPr>
          <w:rStyle w:val="NormalTok"/>
        </w:rPr>
        <w:t xml:space="preserve">map$color[map$SurfaceType ==</w:t>
      </w:r>
      <w:r>
        <w:rPr>
          <w:rStyle w:val="StringTok"/>
        </w:rPr>
        <w:t xml:space="preserve"> 'chair'</w:t>
      </w:r>
      <w:r>
        <w:rPr>
          <w:rStyle w:val="NormalTok"/>
        </w:rPr>
        <w:t xml:space="preserve">] &lt;-</w:t>
      </w:r>
      <w:r>
        <w:rPr>
          <w:rStyle w:val="StringTok"/>
        </w:rPr>
        <w:t xml:space="preserve"> 'darkslateblue'</w:t>
      </w:r>
      <w:r>
        <w:cr/>
      </w:r>
      <w:r>
        <w:rPr>
          <w:rStyle w:val="NormalTok"/>
        </w:rPr>
        <w:t xml:space="preserve">map$color[map$SurfaceType ==</w:t>
      </w:r>
      <w:r>
        <w:rPr>
          <w:rStyle w:val="StringTok"/>
        </w:rPr>
        <w:t xml:space="preserve"> 'desk'</w:t>
      </w:r>
      <w:r>
        <w:rPr>
          <w:rStyle w:val="NormalTok"/>
        </w:rPr>
        <w:t xml:space="preserve">] &lt;-</w:t>
      </w:r>
      <w:r>
        <w:rPr>
          <w:rStyle w:val="StringTok"/>
        </w:rPr>
        <w:t xml:space="preserve"> 'goldenrod3'</w:t>
      </w:r>
      <w:r>
        <w:cr/>
      </w:r>
      <w:r>
        <w:rPr>
          <w:rStyle w:val="NormalTok"/>
        </w:rPr>
        <w:t xml:space="preserve">map$SurfaceType &lt;-</w:t>
      </w:r>
      <w:r>
        <w:rPr>
          <w:rStyle w:val="StringTok"/>
        </w:rPr>
        <w:t xml:space="preserve"> </w:t>
      </w:r>
      <w:r>
        <w:rPr>
          <w:rStyle w:val="KeywordTok"/>
        </w:rPr>
        <w:t xml:space="preserve">factor</w:t>
      </w:r>
      <w:r>
        <w:rPr>
          <w:rStyle w:val="NormalTok"/>
        </w:rPr>
        <w:t xml:space="preserve">(map$SurfaceType,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"wall"</w:t>
      </w:r>
      <w:r>
        <w:rPr>
          <w:rStyle w:val="NormalTok"/>
        </w:rPr>
        <w:t xml:space="preserve">, </w:t>
      </w:r>
      <w:r>
        <w:rPr>
          <w:rStyle w:val="StringTok"/>
        </w:rPr>
        <w:t xml:space="preserve">"floor"</w:t>
      </w:r>
      <w:r>
        <w:rPr>
          <w:rStyle w:val="NormalTok"/>
        </w:rPr>
        <w:t xml:space="preserv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"chair"</w:t>
      </w:r>
      <w:r>
        <w:rPr>
          <w:rStyle w:val="NormalTok"/>
        </w:rPr>
        <w:t xml:space="preserve">, </w:t>
      </w:r>
      <w:r>
        <w:rPr>
          <w:rStyle w:val="StringTok"/>
        </w:rPr>
        <w:t xml:space="preserve">"desk"</w:t>
      </w:r>
      <w:r>
        <w:rPr>
          <w:rStyle w:val="NormalTok"/>
        </w:rPr>
        <w:t xml:space="preserve">))</w:t>
      </w:r>
    </w:p>
    <w:p>
      <w:r>
        <w:t xml:space="preserve">When the samples were being processed initially, zeros were accidentally left out of single digit counts. So a sample named</w:t>
      </w:r>
      <w:r>
        <w:t xml:space="preserve"> </w:t>
      </w:r>
      <w:r>
        <w:rPr>
          <w:rStyle w:val="VerbatimChar"/>
        </w:rPr>
        <w:t xml:space="preserve">Swab.162.2</w:t>
      </w:r>
      <w:r>
        <w:t xml:space="preserve"> </w:t>
      </w:r>
      <w:r>
        <w:t xml:space="preserve">actually gets sorted</w:t>
      </w:r>
      <w:r>
        <w:t xml:space="preserve"> </w:t>
      </w:r>
      <w:r>
        <w:rPr>
          <w:i/>
        </w:rPr>
        <w:t xml:space="preserve">after</w:t>
      </w:r>
      <w:r>
        <w:t xml:space="preserve"> </w:t>
      </w:r>
      <w:r>
        <w:rPr>
          <w:rStyle w:val="VerbatimChar"/>
        </w:rPr>
        <w:t xml:space="preserve">Swab.162.10</w:t>
      </w:r>
      <w:r>
        <w:t xml:space="preserve">. Understandable but unacceptable. So run through and fix the offending names in a separate column that will act as a sorting index. It is probably not a good idea to mess with the actual row names since that could cause problems downstream when dealing with sequencing files or other previous versions of the data. First step is to remove one tiny piece of</w:t>
      </w:r>
      <w:r>
        <w:t xml:space="preserve"> </w:t>
      </w:r>
      <w:r>
        <w:rPr>
          <w:rStyle w:val="VerbatimChar"/>
        </w:rPr>
        <w:t xml:space="preserve">phyloseq</w:t>
      </w:r>
      <w:r>
        <w:t xml:space="preserve"> </w:t>
      </w:r>
      <w:r>
        <w:t xml:space="preserve">baggage. The last command resorts the map by this new column and also cuts out some of the columns we won't use.</w:t>
      </w:r>
    </w:p>
    <w:p>
      <w:pPr>
        <w:pStyle w:val="SourceCode"/>
      </w:pPr>
      <w:r>
        <w:rPr>
          <w:rStyle w:val="KeywordTok"/>
        </w:rPr>
        <w:t xml:space="preserve">names</w:t>
      </w:r>
      <w:r>
        <w:rPr>
          <w:rStyle w:val="NormalTok"/>
        </w:rPr>
        <w:t xml:space="preserve">(map)[</w:t>
      </w:r>
      <w:r>
        <w:rPr>
          <w:rStyle w:val="DecValTok"/>
        </w:rPr>
        <w:t xml:space="preserve">1</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'X.'</w:t>
      </w:r>
      <w:r>
        <w:rPr>
          <w:rStyle w:val="NormalTok"/>
        </w:rPr>
        <w:t xml:space="preserve">, </w:t>
      </w:r>
      <w:r>
        <w:rPr>
          <w:rStyle w:val="StringTok"/>
        </w:rPr>
        <w:t xml:space="preserve">''</w:t>
      </w:r>
      <w:r>
        <w:rPr>
          <w:rStyle w:val="NormalTok"/>
        </w:rPr>
        <w:t xml:space="preserve">, </w:t>
      </w:r>
      <w:r>
        <w:rPr>
          <w:rStyle w:val="KeywordTok"/>
        </w:rPr>
        <w:t xml:space="preserve">names</w:t>
      </w:r>
      <w:r>
        <w:rPr>
          <w:rStyle w:val="NormalTok"/>
        </w:rPr>
        <w:t xml:space="preserve">(map)[</w:t>
      </w:r>
      <w:r>
        <w:rPr>
          <w:rStyle w:val="DecValTok"/>
        </w:rPr>
        <w:t xml:space="preserve">1</w:t>
      </w:r>
      <w:r>
        <w:rPr>
          <w:rStyle w:val="NormalTok"/>
        </w:rPr>
        <w:t xml:space="preserve">])</w:t>
      </w:r>
      <w:r>
        <w:cr/>
      </w:r>
      <w:r>
        <w:cr/>
      </w:r>
      <w:r>
        <w:rPr>
          <w:rStyle w:val="NormalTok"/>
        </w:rPr>
        <w:t xml:space="preserve">map$sortID &lt;-</w:t>
      </w:r>
      <w:r>
        <w:rPr>
          <w:rStyle w:val="StringTok"/>
        </w:rPr>
        <w:t xml:space="preserve"> </w:t>
      </w:r>
      <w:r>
        <w:rPr>
          <w:rStyle w:val="KeywordTok"/>
        </w:rPr>
        <w:t xml:space="preserve">as.character</w:t>
      </w:r>
      <w:r>
        <w:rPr>
          <w:rStyle w:val="NormalTok"/>
        </w:rPr>
        <w:t xml:space="preserve">(map$SampleID)</w:t>
      </w:r>
      <w:r>
        <w:cr/>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(map)) {</w:t>
      </w:r>
      <w:r>
        <w:cr/>
      </w:r>
      <w:r>
        <w:rPr>
          <w:rStyle w:val="NormalTok"/>
        </w:rPr>
        <w:t xml:space="preserve"> </w:t>
      </w:r>
      <w:r>
        <w:rPr>
          <w:rStyle w:val="NormalTok"/>
        </w:rPr>
        <w:t xml:space="preserve"> </w:t>
      </w:r>
      <w:r>
        <w:rPr>
          <w:rStyle w:val="NormalTok"/>
        </w:rPr>
        <w:t xml:space="preserve">if(</w:t>
      </w:r>
      <w:r>
        <w:rPr>
          <w:rStyle w:val="KeywordTok"/>
        </w:rPr>
        <w:t xml:space="preserve">nchar</w:t>
      </w:r>
      <w:r>
        <w:rPr>
          <w:rStyle w:val="NormalTok"/>
        </w:rPr>
        <w:t xml:space="preserve">(map$sortID[i]) ==</w:t>
      </w:r>
      <w:r>
        <w:rPr>
          <w:rStyle w:val="StringTok"/>
        </w:rPr>
        <w:t xml:space="preserve"> </w:t>
      </w:r>
      <w:r>
        <w:rPr>
          <w:rStyle w:val="DecValTok"/>
        </w:rPr>
        <w:t xml:space="preserve">10</w:t>
      </w:r>
      <w:r>
        <w:rPr>
          <w:rStyle w:val="NormalTok"/>
        </w:rPr>
        <w:t xml:space="preserv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map$sortID[i] &lt;-</w:t>
      </w:r>
      <w:r>
        <w:rPr>
          <w:rStyle w:val="StringTok"/>
        </w:rPr>
        <w:t xml:space="preserve"> </w:t>
      </w:r>
      <w:r>
        <w:rPr>
          <w:rStyle w:val="KeywordTok"/>
        </w:rPr>
        <w:t xml:space="preserve">gsub</w:t>
      </w:r>
      <w:r>
        <w:rPr>
          <w:rStyle w:val="NormalTok"/>
        </w:rPr>
        <w:t xml:space="preserve">(</w:t>
      </w:r>
      <w:r>
        <w:rPr>
          <w:rStyle w:val="StringTok"/>
        </w:rPr>
        <w:t xml:space="preserve">'162.'</w:t>
      </w:r>
      <w:r>
        <w:rPr>
          <w:rStyle w:val="NormalTok"/>
        </w:rPr>
        <w:t xml:space="preserve">, </w:t>
      </w:r>
      <w:r>
        <w:rPr>
          <w:rStyle w:val="StringTok"/>
        </w:rPr>
        <w:t xml:space="preserve">'162.0'</w:t>
      </w:r>
      <w:r>
        <w:rPr>
          <w:rStyle w:val="NormalTok"/>
        </w:rPr>
        <w:t xml:space="preserve">, map$sortID[i])</w:t>
      </w:r>
      <w:r>
        <w:cr/>
      </w:r>
      <w:r>
        <w:rPr>
          <w:rStyle w:val="NormalTok"/>
        </w:rPr>
        <w:t xml:space="preserve"> </w:t>
      </w:r>
      <w:r>
        <w:rPr>
          <w:rStyle w:val="NormalTok"/>
        </w:rPr>
        <w:t xml:space="preserve"> </w:t>
      </w:r>
      <w:r>
        <w:rPr>
          <w:rStyle w:val="NormalTok"/>
        </w:rPr>
        <w:t xml:space="preserve">}</w:t>
      </w:r>
      <w:r>
        <w:cr/>
      </w:r>
      <w:r>
        <w:rPr>
          <w:rStyle w:val="NormalTok"/>
        </w:rPr>
        <w:t xml:space="preserve">}</w:t>
      </w:r>
      <w:r>
        <w:cr/>
      </w:r>
      <w:r>
        <w:cr/>
      </w:r>
      <w:r>
        <w:rPr>
          <w:rStyle w:val="NormalTok"/>
        </w:rPr>
        <w:t xml:space="preserve">map &lt;-</w:t>
      </w:r>
      <w:r>
        <w:rPr>
          <w:rStyle w:val="StringTok"/>
        </w:rPr>
        <w:t xml:space="preserve"> </w:t>
      </w:r>
      <w:r>
        <w:rPr>
          <w:rStyle w:val="NormalTok"/>
        </w:rPr>
        <w:t xml:space="preserve">map[</w:t>
      </w:r>
      <w:r>
        <w:rPr>
          <w:rStyle w:val="KeywordTok"/>
        </w:rPr>
        <w:t xml:space="preserve">order</w:t>
      </w:r>
      <w:r>
        <w:rPr>
          <w:rStyle w:val="NormalTok"/>
        </w:rPr>
        <w:t xml:space="preserve">(map$sortID),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'sortID'</w:t>
      </w:r>
      <w:r>
        <w:rPr>
          <w:rStyle w:val="NormalTok"/>
        </w:rPr>
        <w:t xml:space="preserve">, </w:t>
      </w:r>
      <w:r>
        <w:rPr>
          <w:rStyle w:val="StringTok"/>
        </w:rPr>
        <w:t xml:space="preserve">'SurfaceType'</w:t>
      </w:r>
      <w:r>
        <w:rPr>
          <w:rStyle w:val="NormalTok"/>
        </w:rPr>
        <w:t xml:space="preserve">, </w:t>
      </w:r>
      <w:r>
        <w:rPr>
          <w:rStyle w:val="StringTok"/>
        </w:rPr>
        <w:t xml:space="preserve">'xcoord'</w:t>
      </w:r>
      <w:r>
        <w:rPr>
          <w:rStyle w:val="NormalTok"/>
        </w:rPr>
        <w:t xml:space="preserve">, </w:t>
      </w:r>
      <w:r>
        <w:rPr>
          <w:rStyle w:val="StringTok"/>
        </w:rPr>
        <w:t xml:space="preserve">'ycoord'</w:t>
      </w:r>
      <w:r>
        <w:rPr>
          <w:rStyle w:val="NormalTok"/>
        </w:rPr>
        <w:t xml:space="preserve">, </w:t>
      </w:r>
      <w:r>
        <w:rPr>
          <w:rStyle w:val="StringTok"/>
        </w:rPr>
        <w:t xml:space="preserve">'color'</w:t>
      </w:r>
      <w:r>
        <w:rPr>
          <w:rStyle w:val="NormalTok"/>
        </w:rPr>
        <w:t xml:space="preserve">)]</w:t>
      </w:r>
    </w:p>
    <w:p>
      <w:r>
        <w:t xml:space="preserve">Since the map is final, one last step to reconcile the OTU table to the new mapping table row order. The same command also strips out OTUs that didn't make the rarefaction cut. Then reconcile the taxonomy table to the new trimmed OTU table, and everything is ready for analysis.</w:t>
      </w:r>
    </w:p>
    <w:p>
      <w:pPr>
        <w:pStyle w:val="SourceCode"/>
      </w:pPr>
      <w:r>
        <w:rPr>
          <w:rStyle w:val="NormalTok"/>
        </w:rPr>
        <w:t xml:space="preserve">tab &lt;-</w:t>
      </w:r>
      <w:r>
        <w:rPr>
          <w:rStyle w:val="StringTok"/>
        </w:rPr>
        <w:t xml:space="preserve"> </w:t>
      </w:r>
      <w:r>
        <w:rPr>
          <w:rStyle w:val="NormalTok"/>
        </w:rPr>
        <w:t xml:space="preserve">tab[</w:t>
      </w:r>
      <w:r>
        <w:rPr>
          <w:rStyle w:val="KeywordTok"/>
        </w:rPr>
        <w:t xml:space="preserve">row.names</w:t>
      </w:r>
      <w:r>
        <w:rPr>
          <w:rStyle w:val="NormalTok"/>
        </w:rPr>
        <w:t xml:space="preserve">(map), </w:t>
      </w:r>
      <w:r>
        <w:rPr>
          <w:rStyle w:val="KeywordTok"/>
        </w:rPr>
        <w:t xml:space="preserve">which</w:t>
      </w:r>
      <w:r>
        <w:rPr>
          <w:rStyle w:val="NormalTok"/>
        </w:rPr>
        <w:t xml:space="preserve">(</w:t>
      </w:r>
      <w:r>
        <w:rPr>
          <w:rStyle w:val="KeywordTok"/>
        </w:rPr>
        <w:t xml:space="preserve">colSums</w:t>
      </w:r>
      <w:r>
        <w:rPr>
          <w:rStyle w:val="NormalTok"/>
        </w:rPr>
        <w:t xml:space="preserve">(tab) &gt;</w:t>
      </w:r>
      <w:r>
        <w:rPr>
          <w:rStyle w:val="StringTok"/>
        </w:rPr>
        <w:t xml:space="preserve"> </w:t>
      </w:r>
      <w:r>
        <w:rPr>
          <w:rStyle w:val="DecValTok"/>
        </w:rPr>
        <w:t xml:space="preserve">0</w:t>
      </w:r>
      <w:r>
        <w:rPr>
          <w:rStyle w:val="NormalTok"/>
        </w:rPr>
        <w:t xml:space="preserve">)]</w:t>
      </w:r>
      <w:r>
        <w:cr/>
      </w:r>
      <w:r>
        <w:rPr>
          <w:rStyle w:val="NormalTok"/>
        </w:rPr>
        <w:t xml:space="preserve">taxa &lt;-</w:t>
      </w:r>
      <w:r>
        <w:rPr>
          <w:rStyle w:val="StringTok"/>
        </w:rPr>
        <w:t xml:space="preserve"> </w:t>
      </w:r>
      <w:r>
        <w:rPr>
          <w:rStyle w:val="NormalTok"/>
        </w:rPr>
        <w:t xml:space="preserve">surfaceTaxa[</w:t>
      </w:r>
      <w:r>
        <w:rPr>
          <w:rStyle w:val="KeywordTok"/>
        </w:rPr>
        <w:t xml:space="preserve">colnames</w:t>
      </w:r>
      <w:r>
        <w:rPr>
          <w:rStyle w:val="NormalTok"/>
        </w:rPr>
        <w:t xml:space="preserve">(tab), ]</w:t>
      </w:r>
      <w:r>
        <w:cr/>
      </w:r>
      <w:r>
        <w:rPr>
          <w:rStyle w:val="KeywordTok"/>
        </w:rPr>
        <w:t xml:space="preserve">dim</w:t>
      </w:r>
      <w:r>
        <w:rPr>
          <w:rStyle w:val="NormalTok"/>
        </w:rPr>
        <w:t xml:space="preserve">(taxa)</w:t>
      </w:r>
    </w:p>
    <w:p>
      <w:pPr>
        <w:pStyle w:val="SourceCode"/>
      </w:pPr>
      <w:r>
        <w:rPr>
          <w:rStyle w:val="VerbatimChar"/>
        </w:rPr>
        <w:t xml:space="preserve">## [1] 966   7</w:t>
      </w:r>
    </w:p>
    <w:p>
      <w:pPr>
        <w:pStyle w:val="SourceCode"/>
      </w:pPr>
      <w:r>
        <w:rPr>
          <w:rStyle w:val="KeywordTok"/>
        </w:rPr>
        <w:t xml:space="preserve">kable</w:t>
      </w:r>
      <w:r>
        <w:rPr>
          <w:rStyle w:val="NormalTok"/>
        </w:rPr>
        <w:t xml:space="preserve">(</w:t>
      </w:r>
      <w:r>
        <w:rPr>
          <w:rStyle w:val="KeywordTok"/>
        </w:rPr>
        <w:t xml:space="preserve">data.frame</w:t>
      </w:r>
      <w:r>
        <w:rPr>
          <w:rStyle w:val="NormalTok"/>
        </w:rPr>
        <w:t xml:space="preserve">(</w:t>
      </w:r>
      <w:r>
        <w:rPr>
          <w:rStyle w:val="KeywordTok"/>
        </w:rPr>
        <w:t xml:space="preserve">head</w:t>
      </w:r>
      <w:r>
        <w:rPr>
          <w:rStyle w:val="NormalTok"/>
        </w:rPr>
        <w:t xml:space="preserve">(taxa)[,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5</w:t>
      </w:r>
      <w:r>
        <w:rPr>
          <w:rStyle w:val="NormalTok"/>
        </w:rPr>
        <w:t xml:space="preserve">:</w:t>
      </w:r>
      <w:r>
        <w:rPr>
          <w:rStyle w:val="DecValTok"/>
        </w:rPr>
        <w:t xml:space="preserve">7</w:t>
      </w:r>
      <w:r>
        <w:rPr>
          <w:rStyle w:val="NormalTok"/>
        </w:rPr>
        <w:t xml:space="preserve">)]))</w:t>
      </w:r>
    </w:p>
    <w:tbl>
      <w:tblPr>
        <w:tblStyle w:val="TableNormal"/>
      </w:tblPr>
      <w:tblGrid/>
      <w:tr>
        <w:tc>
          <w:tcPr>
            <w:tcBorders>
              <w:bottom w:val="single"/>
            </w:tcBorders>
            <w:vAlign w:val="bottom"/>
          </w:tcPr>
          <w:p>
            <w:pPr>
              <w:jc w:val="left"/>
            </w:pPr>
            <w:r>
              <w:t xml:space="preserve">id</w:t>
            </w:r>
          </w:p>
        </w:tc>
        <w:tc>
          <w:tcPr>
            <w:tcBorders>
              <w:bottom w:val="single"/>
            </w:tcBorders>
            <w:vAlign w:val="bottom"/>
          </w:tcPr>
          <w:p>
            <w:pPr>
              <w:jc w:val="left"/>
            </w:pPr>
            <w:r>
              <w:t xml:space="preserve">Phylum</w:t>
            </w:r>
          </w:p>
        </w:tc>
        <w:tc>
          <w:tcPr>
            <w:tcBorders>
              <w:bottom w:val="single"/>
            </w:tcBorders>
            <w:vAlign w:val="bottom"/>
          </w:tcPr>
          <w:p>
            <w:pPr>
              <w:jc w:val="left"/>
            </w:pPr>
            <w:r>
              <w:t xml:space="preserve">Family</w:t>
            </w:r>
          </w:p>
        </w:tc>
        <w:tc>
          <w:tcPr>
            <w:tcBorders>
              <w:bottom w:val="single"/>
            </w:tcBorders>
            <w:vAlign w:val="bottom"/>
          </w:tcPr>
          <w:p>
            <w:pPr>
              <w:jc w:val="left"/>
            </w:pPr>
            <w:r>
              <w:t xml:space="preserve">Genus</w:t>
            </w:r>
          </w:p>
        </w:tc>
        <w:tc>
          <w:tcPr>
            <w:tcBorders>
              <w:bottom w:val="single"/>
            </w:tcBorders>
            <w:vAlign w:val="bottom"/>
          </w:tcPr>
          <w:p>
            <w:pPr>
              <w:jc w:val="left"/>
            </w:pPr>
            <w:r>
              <w:t xml:space="preserve">Species</w:t>
            </w:r>
          </w:p>
        </w:tc>
      </w:tr>
      <w:tr>
        <w:tc>
          <w:p>
            <w:pPr>
              <w:jc w:val="left"/>
            </w:pPr>
            <w:r>
              <w:t xml:space="preserve">838843</w:t>
            </w:r>
          </w:p>
        </w:tc>
        <w:tc>
          <w:p>
            <w:pPr>
              <w:jc w:val="left"/>
            </w:pPr>
            <w:r>
              <w:t xml:space="preserve">Proteobacteria</w:t>
            </w:r>
          </w:p>
        </w:tc>
        <w:tc>
          <w:p>
            <w:pPr>
              <w:jc w:val="left"/>
            </w:pPr>
            <w:r>
              <w:t xml:space="preserve">Acetobacteraceae</w:t>
            </w:r>
          </w:p>
        </w:tc>
        <w:tc>
          <w:p>
            <w:pPr>
              <w:jc w:val="left"/>
            </w:pPr>
            <w:r>
              <w:t xml:space="preserve">-</w:t>
            </w:r>
          </w:p>
        </w:tc>
        <w:tc>
          <w:p>
            <w:pPr>
              <w:jc w:val="left"/>
            </w:pPr>
            <w:r>
              <w:t xml:space="preserve">-</w:t>
            </w:r>
          </w:p>
        </w:tc>
      </w:tr>
      <w:tr>
        <w:tc>
          <w:p>
            <w:pPr>
              <w:jc w:val="left"/>
            </w:pPr>
            <w:r>
              <w:t xml:space="preserve">259732</w:t>
            </w:r>
          </w:p>
        </w:tc>
        <w:tc>
          <w:p>
            <w:pPr>
              <w:jc w:val="left"/>
            </w:pPr>
            <w:r>
              <w:t xml:space="preserve">Proteobacteria</w:t>
            </w:r>
          </w:p>
        </w:tc>
        <w:tc>
          <w:p>
            <w:pPr>
              <w:jc w:val="left"/>
            </w:pPr>
            <w:r>
              <w:t xml:space="preserve">Caulobacteraceae</w:t>
            </w:r>
          </w:p>
        </w:tc>
        <w:tc>
          <w:p>
            <w:pPr>
              <w:jc w:val="left"/>
            </w:pPr>
            <w:r>
              <w:t xml:space="preserve">Brevundimonas</w:t>
            </w:r>
          </w:p>
        </w:tc>
        <w:tc>
          <w:p>
            <w:pPr>
              <w:jc w:val="left"/>
            </w:pPr>
            <w:r>
              <w:t xml:space="preserve">diminuta</w:t>
            </w:r>
          </w:p>
        </w:tc>
      </w:tr>
      <w:tr>
        <w:tc>
          <w:p>
            <w:pPr>
              <w:jc w:val="left"/>
            </w:pPr>
            <w:r>
              <w:t xml:space="preserve">127012</w:t>
            </w:r>
          </w:p>
        </w:tc>
        <w:tc>
          <w:p>
            <w:pPr>
              <w:jc w:val="left"/>
            </w:pPr>
            <w:r>
              <w:t xml:space="preserve">Bacteroidetes</w:t>
            </w:r>
          </w:p>
        </w:tc>
        <w:tc>
          <w:p>
            <w:pPr>
              <w:jc w:val="left"/>
            </w:pPr>
            <w:r>
              <w:t xml:space="preserve">Cytophagaceae</w:t>
            </w:r>
          </w:p>
        </w:tc>
        <w:tc>
          <w:p>
            <w:pPr>
              <w:jc w:val="left"/>
            </w:pPr>
            <w:r>
              <w:t xml:space="preserve">Hymenobacter</w:t>
            </w:r>
          </w:p>
        </w:tc>
        <w:tc>
          <w:p>
            <w:pPr>
              <w:jc w:val="left"/>
            </w:pPr>
            <w:r>
              <w:t xml:space="preserve">-</w:t>
            </w:r>
          </w:p>
        </w:tc>
      </w:tr>
      <w:tr>
        <w:tc>
          <w:p>
            <w:pPr>
              <w:jc w:val="left"/>
            </w:pPr>
            <w:r>
              <w:t xml:space="preserve">4375688</w:t>
            </w:r>
          </w:p>
        </w:tc>
        <w:tc>
          <w:p>
            <w:pPr>
              <w:jc w:val="left"/>
            </w:pPr>
            <w:r>
              <w:t xml:space="preserve">Proteobacteria</w:t>
            </w:r>
          </w:p>
        </w:tc>
        <w:tc>
          <w:p>
            <w:pPr>
              <w:jc w:val="left"/>
            </w:pPr>
            <w:r>
              <w:t xml:space="preserve">Campylobacteraceae</w:t>
            </w:r>
          </w:p>
        </w:tc>
        <w:tc>
          <w:p>
            <w:pPr>
              <w:jc w:val="left"/>
            </w:pPr>
            <w:r>
              <w:t xml:space="preserve">Campylobacter</w:t>
            </w:r>
          </w:p>
        </w:tc>
        <w:tc>
          <w:p>
            <w:pPr>
              <w:jc w:val="left"/>
            </w:pPr>
            <w:r>
              <w:t xml:space="preserve">-</w:t>
            </w:r>
          </w:p>
        </w:tc>
      </w:tr>
      <w:tr>
        <w:tc>
          <w:p>
            <w:pPr>
              <w:jc w:val="left"/>
            </w:pPr>
            <w:r>
              <w:t xml:space="preserve">4444760</w:t>
            </w:r>
          </w:p>
        </w:tc>
        <w:tc>
          <w:p>
            <w:pPr>
              <w:jc w:val="left"/>
            </w:pPr>
            <w:r>
              <w:t xml:space="preserve">Actinobacteria</w:t>
            </w:r>
          </w:p>
        </w:tc>
        <w:tc>
          <w:p>
            <w:pPr>
              <w:jc w:val="left"/>
            </w:pPr>
            <w:r>
              <w:t xml:space="preserve">Micrococcaceae</w:t>
            </w:r>
          </w:p>
        </w:tc>
        <w:tc>
          <w:p>
            <w:pPr>
              <w:jc w:val="left"/>
            </w:pPr>
            <w:r>
              <w:t xml:space="preserve">-</w:t>
            </w:r>
          </w:p>
        </w:tc>
        <w:tc>
          <w:p>
            <w:pPr>
              <w:jc w:val="left"/>
            </w:pPr>
            <w:r>
              <w:t xml:space="preserve">-</w:t>
            </w:r>
          </w:p>
        </w:tc>
      </w:tr>
      <w:tr>
        <w:tc>
          <w:p>
            <w:pPr>
              <w:jc w:val="left"/>
            </w:pPr>
            <w:r>
              <w:t xml:space="preserve">4361074</w:t>
            </w:r>
          </w:p>
        </w:tc>
        <w:tc>
          <w:p>
            <w:pPr>
              <w:jc w:val="left"/>
            </w:pPr>
            <w:r>
              <w:t xml:space="preserve">Proteobacteria</w:t>
            </w:r>
          </w:p>
        </w:tc>
        <w:tc>
          <w:p>
            <w:pPr>
              <w:jc w:val="left"/>
            </w:pPr>
            <w:r>
              <w:t xml:space="preserve">Acetobacteraceae</w:t>
            </w:r>
          </w:p>
        </w:tc>
        <w:tc>
          <w:p>
            <w:pPr>
              <w:jc w:val="left"/>
            </w:pPr>
            <w:r>
              <w:t xml:space="preserve">-</w:t>
            </w:r>
          </w:p>
        </w:tc>
        <w:tc>
          <w:p>
            <w:pPr>
              <w:jc w:val="left"/>
            </w:pPr>
            <w:r>
              <w:t xml:space="preserve">-</w:t>
            </w:r>
          </w:p>
        </w:tc>
      </w:tr>
    </w:tbl>
    <w:bookmarkStart w:id="30" w:name="analysis"/>
    <w:p>
      <w:pPr>
        <w:pStyle w:val="Heading3"/>
      </w:pPr>
      <w:r>
        <w:t xml:space="preserve">Analysis</w:t>
      </w:r>
    </w:p>
    <w:bookmarkEnd w:id="30"/>
    <w:p>
      <w:r>
        <w:t xml:space="preserve">To compare communities, make a matrix of pairwise multivariate distances (thus calculating beta-diversity). There are dozens of choices. The Canberra metric tends to work really well when communities share their most abundant OTUs, but have the strongest differences in a subset of relatively rare OTUs. Since we expect that to be the case in this dataset, the Canberra metric will be used here. Legendre &amp; Legendre's</w:t>
      </w:r>
      <w:r>
        <w:t xml:space="preserve"> </w:t>
      </w:r>
      <w:r>
        <w:rPr>
          <w:i/>
        </w:rPr>
        <w:t xml:space="preserve">Numerical Ecology</w:t>
      </w:r>
      <w:r>
        <w:t xml:space="preserve"> </w:t>
      </w:r>
      <w:r>
        <w:t xml:space="preserve">is a terrific reference for choosing beta-diversity metrics that are appropriate for each problem.</w:t>
      </w:r>
    </w:p>
    <w:p>
      <w:pPr>
        <w:pStyle w:val="SourceCode"/>
      </w:pPr>
      <w:r>
        <w:rPr>
          <w:rStyle w:val="NormalTok"/>
        </w:rPr>
        <w:t xml:space="preserve">distCanberra &lt;-</w:t>
      </w:r>
      <w:r>
        <w:rPr>
          <w:rStyle w:val="StringTok"/>
        </w:rPr>
        <w:t xml:space="preserve"> </w:t>
      </w:r>
      <w:r>
        <w:rPr>
          <w:rStyle w:val="KeywordTok"/>
        </w:rPr>
        <w:t xml:space="preserve">vegdist</w:t>
      </w:r>
      <w:r>
        <w:rPr>
          <w:rStyle w:val="NormalTok"/>
        </w:rPr>
        <w:t xml:space="preserve">(tab, </w:t>
      </w:r>
      <w:r>
        <w:rPr>
          <w:rStyle w:val="StringTok"/>
        </w:rPr>
        <w:t xml:space="preserve">'canberra'</w:t>
      </w:r>
      <w:r>
        <w:rPr>
          <w:rStyle w:val="NormalTok"/>
        </w:rPr>
        <w:t xml:space="preserve">)</w:t>
      </w:r>
    </w:p>
    <w:p>
      <w:r>
        <w:t xml:space="preserve">That distance matrix can go directly into many different multivariate analysis functions. To visualize the potential differences among sample types (walls, desks, floors and chairs), non-metric multidimensional scaling (NMDS) tends to be a mathematically satisfying visualization solution. There are several different ways to create an NMDS in R. This function is in the</w:t>
      </w:r>
      <w:r>
        <w:t xml:space="preserve"> </w:t>
      </w:r>
      <w:r>
        <w:rPr>
          <w:rStyle w:val="VerbatimChar"/>
        </w:rPr>
        <w:t xml:space="preserve">labdsv</w:t>
      </w:r>
      <w:r>
        <w:t xml:space="preserve"> </w:t>
      </w:r>
      <w:r>
        <w:t xml:space="preserve">package, and uses random starting positions for all points before trying to fit the most parsimonious dissimilarity solution. Since we used</w:t>
      </w:r>
      <w:r>
        <w:t xml:space="preserve"> </w:t>
      </w:r>
      <w:r>
        <w:rPr>
          <w:rStyle w:val="VerbatimChar"/>
        </w:rPr>
        <w:t xml:space="preserve">set.seed</w:t>
      </w:r>
      <w:r>
        <w:t xml:space="preserve"> </w:t>
      </w:r>
      <w:r>
        <w:t xml:space="preserve">at the top, it is not entirely random, but useful nonetheless.</w:t>
      </w:r>
    </w:p>
    <w:p>
      <w:pPr>
        <w:pStyle w:val="SourceCode"/>
      </w:pPr>
      <w:r>
        <w:rPr>
          <w:rStyle w:val="NormalTok"/>
        </w:rPr>
        <w:t xml:space="preserve">nmdsCanberra &lt;-</w:t>
      </w:r>
      <w:r>
        <w:rPr>
          <w:rStyle w:val="StringTok"/>
        </w:rPr>
        <w:t xml:space="preserve"> </w:t>
      </w:r>
      <w:r>
        <w:rPr>
          <w:rStyle w:val="KeywordTok"/>
        </w:rPr>
        <w:t xml:space="preserve">bestnmds</w:t>
      </w:r>
      <w:r>
        <w:rPr>
          <w:rStyle w:val="NormalTok"/>
        </w:rPr>
        <w:t xml:space="preserve">(distCanberra)</w:t>
      </w:r>
    </w:p>
    <w:p>
      <w:r>
        <w:t xml:space="preserve">The plot will give us an indication of whether we should use discriminant analysis to test for differences among sample types.</w:t>
      </w:r>
    </w:p>
    <w:p>
      <w:pPr>
        <w:pStyle w:val="SourceCode"/>
      </w:pP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las=</w:t>
      </w:r>
      <w:r>
        <w:rPr>
          <w:rStyle w:val="DecValTok"/>
        </w:rPr>
        <w:t xml:space="preserve">1</w:t>
      </w:r>
      <w:r>
        <w:rPr>
          <w:rStyle w:val="NormalTok"/>
        </w:rPr>
        <w:t xml:space="preserve">, </w:t>
      </w:r>
      <w:r>
        <w:rPr>
          <w:rStyle w:val="DataTypeTok"/>
        </w:rPr>
        <w:t xml:space="preserve">xpd=</w:t>
      </w:r>
      <w:r>
        <w:rPr>
          <w:rStyle w:val="OtherTok"/>
        </w:rPr>
        <w:t xml:space="preserve">TRUE</w:t>
      </w:r>
      <w:r>
        <w:rPr>
          <w:rStyle w:val="NormalTok"/>
        </w:rPr>
        <w:t xml:space="preserve">)</w:t>
      </w:r>
      <w:r>
        <w:cr/>
      </w:r>
      <w:r>
        <w:rPr>
          <w:rStyle w:val="KeywordTok"/>
        </w:rPr>
        <w:t xml:space="preserve">plot</w:t>
      </w:r>
      <w:r>
        <w:rPr>
          <w:rStyle w:val="NormalTok"/>
        </w:rPr>
        <w:t xml:space="preserve">(nmdsCanberra, </w:t>
      </w:r>
      <w:r>
        <w:rPr>
          <w:rStyle w:val="DataTypeTok"/>
        </w:rPr>
        <w:t xml:space="preserve">pch=</w:t>
      </w:r>
      <w:r>
        <w:rPr>
          <w:rStyle w:val="DecValTok"/>
        </w:rPr>
        <w:t xml:space="preserve">21</w:t>
      </w:r>
      <w:r>
        <w:rPr>
          <w:rStyle w:val="NormalTok"/>
        </w:rPr>
        <w:t xml:space="preserve">, </w:t>
      </w:r>
      <w:r>
        <w:rPr>
          <w:rStyle w:val="DataTypeTok"/>
        </w:rPr>
        <w:t xml:space="preserve">cex=</w:t>
      </w:r>
      <w:r>
        <w:rPr>
          <w:rStyle w:val="DecValTok"/>
        </w:rPr>
        <w:t xml:space="preserve">2</w:t>
      </w:r>
      <w:r>
        <w:rPr>
          <w:rStyle w:val="NormalTok"/>
        </w:rPr>
        <w:t xml:space="preserve">, </w:t>
      </w:r>
      <w:r>
        <w:rPr>
          <w:rStyle w:val="DataTypeTok"/>
        </w:rPr>
        <w:t xml:space="preserve">bg=</w:t>
      </w:r>
      <w:r>
        <w:rPr>
          <w:rStyle w:val="NormalTok"/>
        </w:rPr>
        <w:t xml:space="preserve">map$color)</w:t>
      </w:r>
      <w:r>
        <w:cr/>
      </w:r>
      <w:r>
        <w:rPr>
          <w:rStyle w:val="KeywordTok"/>
        </w:rPr>
        <w:t xml:space="preserve">legend</w:t>
      </w:r>
      <w:r>
        <w:rPr>
          <w:rStyle w:val="NormalTok"/>
        </w:rPr>
        <w:t xml:space="preserve">(</w:t>
      </w:r>
      <w:r>
        <w:rPr>
          <w:rStyle w:val="KeywordTok"/>
        </w:rPr>
        <w:t xml:space="preserve">par</w:t>
      </w:r>
      <w:r>
        <w:rPr>
          <w:rStyle w:val="NormalTok"/>
        </w:rPr>
        <w:t xml:space="preserve">()$usr[</w:t>
      </w:r>
      <w:r>
        <w:rPr>
          <w:rStyle w:val="DecValTok"/>
        </w:rPr>
        <w:t xml:space="preserve">2</w:t>
      </w:r>
      <w:r>
        <w:rPr>
          <w:rStyle w:val="NormalTok"/>
        </w:rPr>
        <w:t xml:space="preserve">], </w:t>
      </w:r>
      <w:r>
        <w:rPr>
          <w:rStyle w:val="KeywordTok"/>
        </w:rPr>
        <w:t xml:space="preserve">par</w:t>
      </w:r>
      <w:r>
        <w:rPr>
          <w:rStyle w:val="NormalTok"/>
        </w:rPr>
        <w:t xml:space="preserve">()$usr[</w:t>
      </w:r>
      <w:r>
        <w:rPr>
          <w:rStyle w:val="DecValTok"/>
        </w:rPr>
        <w:t xml:space="preserve">4</w:t>
      </w:r>
      <w:r>
        <w:rPr>
          <w:rStyle w:val="NormalTok"/>
        </w:rPr>
        <w:t xml:space="preserve">], </w:t>
      </w:r>
      <w:r>
        <w:rPr>
          <w:rStyle w:val="DataTypeTok"/>
        </w:rPr>
        <w:t xml:space="preserve">pch=</w:t>
      </w:r>
      <w:r>
        <w:rPr>
          <w:rStyle w:val="DecValTok"/>
        </w:rPr>
        <w:t xml:space="preserve">21</w:t>
      </w:r>
      <w:r>
        <w:rPr>
          <w:rStyle w:val="NormalTok"/>
        </w:rPr>
        <w:t xml:space="preserve">, </w:t>
      </w:r>
      <w:r>
        <w:rPr>
          <w:rStyle w:val="DataTypeTok"/>
        </w:rPr>
        <w:t xml:space="preserve">pt.cex=</w:t>
      </w:r>
      <w:r>
        <w:rPr>
          <w:rStyle w:val="FloatTok"/>
        </w:rPr>
        <w:t xml:space="preserve">1.5</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w:t>
      </w:r>
      <w:r>
        <w:rPr>
          <w:rStyle w:val="KeywordTok"/>
        </w:rPr>
        <w:t xml:space="preserve">levels</w:t>
      </w:r>
      <w:r>
        <w:rPr>
          <w:rStyle w:val="NormalTok"/>
        </w:rPr>
        <w:t xml:space="preserve">(map$SurfaceType),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pt.bg=</w:t>
      </w:r>
      <w:r>
        <w:rPr>
          <w:rStyle w:val="KeywordTok"/>
        </w:rPr>
        <w:t xml:space="preserve">unique</w:t>
      </w:r>
      <w:r>
        <w:rPr>
          <w:rStyle w:val="NormalTok"/>
        </w:rPr>
        <w:t xml:space="preserve">(map$color), </w:t>
      </w:r>
      <w:r>
        <w:rPr>
          <w:rStyle w:val="DataTypeTok"/>
        </w:rPr>
        <w:t xml:space="preserve">bty=</w:t>
      </w:r>
      <w:r>
        <w:rPr>
          <w:rStyle w:val="StringTok"/>
        </w:rPr>
        <w:t xml:space="preserve">'n'</w:t>
      </w:r>
      <w:r>
        <w:rPr>
          <w:rStyle w:val="NormalTok"/>
        </w:rPr>
        <w:t xml:space="preserve">)</w:t>
      </w:r>
    </w:p>
    <w:p>
      <w:r>
        <w:drawing>
          <wp:inline>
            <wp:extent cx="5486400" cy="4572000"/>
            <wp:effectExtent b="0" l="0" r="0" t="0"/>
            <wp:docPr descr="" id="1" name="Picture"/>
            <a:graphic>
              <a:graphicData uri="http://schemas.openxmlformats.org/drawingml/2006/picture">
                <pic:pic>
                  <pic:nvPicPr>
                    <pic:cNvPr descr="figure/plotNMDS.png" id="0" name="Picture"/>
                    <pic:cNvPicPr>
                      <a:picLocks noChangeArrowheads="1" noChangeAspect="1"/>
                    </pic:cNvPicPr>
                  </pic:nvPicPr>
                  <pic:blipFill>
                    <a:blip r:embed="rId31"/>
                    <a:stretch>
                      <a:fillRect/>
                    </a:stretch>
                  </pic:blipFill>
                  <pic:spPr bwMode="auto">
                    <a:xfrm>
                      <a:off x="0" y="0"/>
                      <a:ext cx="5486400" cy="4572000"/>
                    </a:xfrm>
                    <a:prstGeom prst="rect">
                      <a:avLst/>
                    </a:prstGeom>
                    <a:noFill/>
                    <a:ln w="9525">
                      <a:noFill/>
                      <a:headEnd/>
                      <a:tailEnd/>
                    </a:ln>
                  </pic:spPr>
                </pic:pic>
              </a:graphicData>
            </a:graphic>
          </wp:inline>
        </w:drawing>
      </w:r>
    </w:p>
    <w:p>
      <w:pPr>
        <w:pStyle w:val="ImageCaption"/>
      </w:pPr>
      <w:r>
        <w:t xml:space="preserve">Samples cluster by the type of surface.</w:t>
      </w:r>
    </w:p>
    <w:p>
      <w:r>
        <w:t xml:space="preserve">There is an apparent clustering by sample type (color in this case), so we should test to see if it is statistically worth discussing. The</w:t>
      </w:r>
      <w:r>
        <w:t xml:space="preserve"> </w:t>
      </w:r>
      <w:r>
        <w:rPr>
          <w:rStyle w:val="VerbatimChar"/>
        </w:rPr>
        <w:t xml:space="preserve">adonis</w:t>
      </w:r>
      <w:r>
        <w:t xml:space="preserve"> </w:t>
      </w:r>
      <w:r>
        <w:t xml:space="preserve">function performs permutational multivariate analysis of variance (PERMANOVA), using 999 iterations as a default. The iterative nature is a must since our pairwise sample distances are technically not independent. Thus each iteration picks a few of them and test for a difference. Since we are only running 999 iterations, we can't reasonably report p-values lower than 0.001, since that is 1/1000.</w:t>
      </w:r>
    </w:p>
    <w:p>
      <w:pPr>
        <w:pStyle w:val="SourceCode"/>
      </w:pPr>
      <w:r>
        <w:rPr>
          <w:rStyle w:val="NormalTok"/>
        </w:rPr>
        <w:t xml:space="preserve">surfaceTypeModel &lt;-</w:t>
      </w:r>
      <w:r>
        <w:rPr>
          <w:rStyle w:val="StringTok"/>
        </w:rPr>
        <w:t xml:space="preserve"> </w:t>
      </w:r>
      <w:r>
        <w:rPr>
          <w:rStyle w:val="KeywordTok"/>
        </w:rPr>
        <w:t xml:space="preserve">adonis</w:t>
      </w:r>
      <w:r>
        <w:rPr>
          <w:rStyle w:val="NormalTok"/>
        </w:rPr>
        <w:t xml:space="preserve">(distCanberra ~</w:t>
      </w:r>
      <w:r>
        <w:rPr>
          <w:rStyle w:val="StringTok"/>
        </w:rPr>
        <w:t xml:space="preserve"> </w:t>
      </w:r>
      <w:r>
        <w:rPr>
          <w:rStyle w:val="NormalTok"/>
        </w:rPr>
        <w:t xml:space="preserve">map$SurfaceType)$aov.tab</w:t>
      </w:r>
      <w:r>
        <w:cr/>
      </w:r>
      <w:r>
        <w:rPr>
          <w:rStyle w:val="KeywordTok"/>
        </w:rPr>
        <w:t xml:space="preserve">kable</w:t>
      </w:r>
      <w:r>
        <w:rPr>
          <w:rStyle w:val="NormalTok"/>
        </w:rPr>
        <w:t xml:space="preserve">(surfaceTypeModel)</w:t>
      </w:r>
    </w:p>
    <w:tbl>
      <w:tblPr>
        <w:tblStyle w:val="TableNormal"/>
      </w:tblPr>
      <w:tblGrid/>
      <w:tr>
        <w:tc>
          <w:tcPr>
            <w:tcBorders>
              <w:bottom w:val="single"/>
            </w:tcBorders>
            <w:vAlign w:val="bottom"/>
          </w:tcPr>
          <w:p>
            <w:pPr>
              <w:jc w:val="left"/>
            </w:pPr>
            <w:r>
              <w:t xml:space="preserve">id</w:t>
            </w:r>
          </w:p>
        </w:tc>
        <w:tc>
          <w:tcPr>
            <w:tcBorders>
              <w:bottom w:val="single"/>
            </w:tcBorders>
            <w:vAlign w:val="bottom"/>
          </w:tcPr>
          <w:p>
            <w:pPr>
              <w:jc w:val="right"/>
            </w:pPr>
            <w:r>
              <w:t xml:space="preserve">Df</w:t>
            </w:r>
          </w:p>
        </w:tc>
        <w:tc>
          <w:tcPr>
            <w:tcBorders>
              <w:bottom w:val="single"/>
            </w:tcBorders>
            <w:vAlign w:val="bottom"/>
          </w:tcPr>
          <w:p>
            <w:pPr>
              <w:jc w:val="right"/>
            </w:pPr>
            <w:r>
              <w:t xml:space="preserve">SumsOfSqs</w:t>
            </w:r>
          </w:p>
        </w:tc>
        <w:tc>
          <w:tcPr>
            <w:tcBorders>
              <w:bottom w:val="single"/>
            </w:tcBorders>
            <w:vAlign w:val="bottom"/>
          </w:tcPr>
          <w:p>
            <w:pPr>
              <w:jc w:val="right"/>
            </w:pPr>
            <w:r>
              <w:t xml:space="preserve">MeanSqs</w:t>
            </w:r>
          </w:p>
        </w:tc>
        <w:tc>
          <w:tcPr>
            <w:tcBorders>
              <w:bottom w:val="single"/>
            </w:tcBorders>
            <w:vAlign w:val="bottom"/>
          </w:tcPr>
          <w:p>
            <w:pPr>
              <w:jc w:val="right"/>
            </w:pPr>
            <w:r>
              <w:t xml:space="preserve">F.Model</w:t>
            </w:r>
          </w:p>
        </w:tc>
        <w:tc>
          <w:tcPr>
            <w:tcBorders>
              <w:bottom w:val="single"/>
            </w:tcBorders>
            <w:vAlign w:val="bottom"/>
          </w:tcPr>
          <w:p>
            <w:pPr>
              <w:jc w:val="right"/>
            </w:pPr>
            <w:r>
              <w:t xml:space="preserve">R2</w:t>
            </w:r>
          </w:p>
        </w:tc>
        <w:tc>
          <w:tcPr>
            <w:tcBorders>
              <w:bottom w:val="single"/>
            </w:tcBorders>
            <w:vAlign w:val="bottom"/>
          </w:tcPr>
          <w:p>
            <w:pPr>
              <w:jc w:val="right"/>
            </w:pPr>
            <w:r>
              <w:t xml:space="preserve">Pr(&gt;F)</w:t>
            </w:r>
          </w:p>
        </w:tc>
      </w:tr>
      <w:tr>
        <w:tc>
          <w:p>
            <w:pPr>
              <w:jc w:val="left"/>
            </w:pPr>
            <w:r>
              <w:t xml:space="preserve">map$SurfaceType</w:t>
            </w:r>
          </w:p>
        </w:tc>
        <w:tc>
          <w:p>
            <w:pPr>
              <w:jc w:val="right"/>
            </w:pPr>
            <w:r>
              <w:t xml:space="preserve">3</w:t>
            </w:r>
          </w:p>
        </w:tc>
        <w:tc>
          <w:p>
            <w:pPr>
              <w:jc w:val="right"/>
            </w:pPr>
            <w:r>
              <w:t xml:space="preserve">2.135</w:t>
            </w:r>
          </w:p>
        </w:tc>
        <w:tc>
          <w:p>
            <w:pPr>
              <w:jc w:val="right"/>
            </w:pPr>
            <w:r>
              <w:t xml:space="preserve">0.7117</w:t>
            </w:r>
          </w:p>
        </w:tc>
        <w:tc>
          <w:p>
            <w:pPr>
              <w:jc w:val="right"/>
            </w:pPr>
            <w:r>
              <w:t xml:space="preserve">1.797</w:t>
            </w:r>
          </w:p>
        </w:tc>
        <w:tc>
          <w:p>
            <w:pPr>
              <w:jc w:val="right"/>
            </w:pPr>
            <w:r>
              <w:t xml:space="preserve">0.0908</w:t>
            </w:r>
          </w:p>
        </w:tc>
        <w:tc>
          <w:p>
            <w:pPr>
              <w:jc w:val="right"/>
            </w:pPr>
            <w:r>
              <w:t xml:space="preserve">0.001</w:t>
            </w:r>
          </w:p>
        </w:tc>
      </w:tr>
      <w:tr>
        <w:tc>
          <w:p>
            <w:pPr>
              <w:jc w:val="left"/>
            </w:pPr>
            <w:r>
              <w:t xml:space="preserve">Residuals</w:t>
            </w:r>
          </w:p>
        </w:tc>
        <w:tc>
          <w:p>
            <w:pPr>
              <w:jc w:val="right"/>
            </w:pPr>
            <w:r>
              <w:t xml:space="preserve">54</w:t>
            </w:r>
          </w:p>
        </w:tc>
        <w:tc>
          <w:p>
            <w:pPr>
              <w:jc w:val="right"/>
            </w:pPr>
            <w:r>
              <w:t xml:space="preserve">21.389</w:t>
            </w:r>
          </w:p>
        </w:tc>
        <w:tc>
          <w:p>
            <w:pPr>
              <w:jc w:val="right"/>
            </w:pPr>
            <w:r>
              <w:t xml:space="preserve">0.3961</w:t>
            </w:r>
          </w:p>
        </w:tc>
        <w:tc>
          <w:p>
            <w:pPr>
              <w:jc w:val="right"/>
            </w:pPr>
            <w:r>
              <w:t xml:space="preserve">NA</w:t>
            </w:r>
          </w:p>
        </w:tc>
        <w:tc>
          <w:p>
            <w:pPr>
              <w:jc w:val="right"/>
            </w:pPr>
            <w:r>
              <w:t xml:space="preserve">0.9092</w:t>
            </w:r>
          </w:p>
        </w:tc>
        <w:tc>
          <w:p>
            <w:pPr>
              <w:jc w:val="right"/>
            </w:pPr>
            <w:r>
              <w:t xml:space="preserve">NA</w:t>
            </w:r>
          </w:p>
        </w:tc>
      </w:tr>
      <w:tr>
        <w:tc>
          <w:p>
            <w:pPr>
              <w:jc w:val="left"/>
            </w:pPr>
            <w:r>
              <w:t xml:space="preserve">Total</w:t>
            </w:r>
          </w:p>
        </w:tc>
        <w:tc>
          <w:p>
            <w:pPr>
              <w:jc w:val="right"/>
            </w:pPr>
            <w:r>
              <w:t xml:space="preserve">57</w:t>
            </w:r>
          </w:p>
        </w:tc>
        <w:tc>
          <w:p>
            <w:pPr>
              <w:jc w:val="right"/>
            </w:pPr>
            <w:r>
              <w:t xml:space="preserve">23.524</w:t>
            </w:r>
          </w:p>
        </w:tc>
        <w:tc>
          <w:p>
            <w:pPr>
              <w:jc w:val="right"/>
            </w:pPr>
            <w:r>
              <w:t xml:space="preserve">NA</w:t>
            </w:r>
          </w:p>
        </w:tc>
        <w:tc>
          <w:p>
            <w:pPr>
              <w:jc w:val="right"/>
            </w:pPr>
            <w:r>
              <w:t xml:space="preserve">NA</w:t>
            </w:r>
          </w:p>
        </w:tc>
        <w:tc>
          <w:p>
            <w:pPr>
              <w:jc w:val="right"/>
            </w:pPr>
            <w:r>
              <w:t xml:space="preserve">1.0000</w:t>
            </w:r>
          </w:p>
        </w:tc>
        <w:tc>
          <w:p>
            <w:pPr>
              <w:jc w:val="right"/>
            </w:pPr>
            <w:r>
              <w:t xml:space="preserve">NA</w:t>
            </w:r>
          </w:p>
        </w:tc>
      </w:tr>
    </w:tbl>
    <w:p>
      <w:r>
        <w:t xml:space="preserve">Yes - quite significant. So there is one reasonably strong result, but the R^2 value is pretty weak. That tells us that sample type certainly matters, but there is still lots of variability that cannot be explained just by that factor.</w:t>
      </w:r>
    </w:p>
    <w:p>
      <w:r>
        <w:t xml:space="preserve">So we should check for a quasi-distance-decay relationship. This is the sort of pattern we see in just about every ecosystem with most forms of life. We even found this to be a stong predictor in the dust sampled from the</w:t>
      </w:r>
      <w:r>
        <w:t xml:space="preserve"> </w:t>
      </w:r>
      <w:hyperlink r:id="rId32">
        <w:r>
          <w:rPr>
            <w:rStyle w:val="Link"/>
          </w:rPr>
          <w:t xml:space="preserve">entire building</w:t>
        </w:r>
      </w:hyperlink>
      <w:r>
        <w:t xml:space="preserve">. So we can use the x and y coordinates as a map of samples, and then calculate the Euclidean pairwise distance between all samples. Then that goes through a mantel test to determine if these distance are correlated with the community distances. There is not a convenient table output for the</w:t>
      </w:r>
      <w:r>
        <w:t xml:space="preserve"> </w:t>
      </w:r>
      <w:r>
        <w:rPr>
          <w:rStyle w:val="VerbatimChar"/>
        </w:rPr>
        <w:t xml:space="preserve">mantel</w:t>
      </w:r>
      <w:r>
        <w:t xml:space="preserve"> </w:t>
      </w:r>
      <w:r>
        <w:t xml:space="preserve">function, so it goes to standard output.</w:t>
      </w:r>
    </w:p>
    <w:p>
      <w:pPr>
        <w:pStyle w:val="SourceCode"/>
      </w:pPr>
      <w:r>
        <w:rPr>
          <w:rStyle w:val="NormalTok"/>
        </w:rPr>
        <w:t xml:space="preserve">distSpatial &lt;-</w:t>
      </w:r>
      <w:r>
        <w:rPr>
          <w:rStyle w:val="StringTok"/>
        </w:rPr>
        <w:t xml:space="preserve"> </w:t>
      </w:r>
      <w:r>
        <w:rPr>
          <w:rStyle w:val="KeywordTok"/>
        </w:rPr>
        <w:t xml:space="preserve">dist</w:t>
      </w:r>
      <w:r>
        <w:rPr>
          <w:rStyle w:val="NormalTok"/>
        </w:rPr>
        <w:t xml:space="preserve">(</w:t>
      </w:r>
      <w:r>
        <w:rPr>
          <w:rStyle w:val="KeywordTok"/>
        </w:rPr>
        <w:t xml:space="preserve">data.frame</w:t>
      </w:r>
      <w:r>
        <w:rPr>
          <w:rStyle w:val="NormalTok"/>
        </w:rPr>
        <w:t xml:space="preserve">(map$xcoor, map$ycoor))</w:t>
      </w:r>
      <w:r>
        <w:cr/>
      </w:r>
      <w:r>
        <w:rPr>
          <w:rStyle w:val="KeywordTok"/>
        </w:rPr>
        <w:t xml:space="preserve">mantel</w:t>
      </w:r>
      <w:r>
        <w:rPr>
          <w:rStyle w:val="NormalTok"/>
        </w:rPr>
        <w:t xml:space="preserve">(distCanberra, distSpatial)</w:t>
      </w:r>
    </w:p>
    <w:p>
      <w:pPr>
        <w:pStyle w:val="SourceCode"/>
      </w:pPr>
      <w:r>
        <w:rPr>
          <w:rStyle w:val="VerbatimChar"/>
        </w:rPr>
        <w:t xml:space="preserve">## </w:t>
      </w:r>
      <w:r>
        <w:cr/>
      </w:r>
      <w:r>
        <w:rPr>
          <w:rStyle w:val="VerbatimChar"/>
        </w:rPr>
        <w:t xml:space="preserve">## Mantel statistic based on Pearson's product-moment correlation </w:t>
      </w:r>
      <w:r>
        <w:cr/>
      </w:r>
      <w:r>
        <w:rPr>
          <w:rStyle w:val="VerbatimChar"/>
        </w:rPr>
        <w:t xml:space="preserve">## </w:t>
      </w:r>
      <w:r>
        <w:cr/>
      </w:r>
      <w:r>
        <w:rPr>
          <w:rStyle w:val="VerbatimChar"/>
        </w:rPr>
        <w:t xml:space="preserve">## Call:</w:t>
      </w:r>
      <w:r>
        <w:cr/>
      </w:r>
      <w:r>
        <w:rPr>
          <w:rStyle w:val="VerbatimChar"/>
        </w:rPr>
        <w:t xml:space="preserve">## mantel(xdis = distCanberra, ydis = distSpatial) </w:t>
      </w:r>
      <w:r>
        <w:cr/>
      </w:r>
      <w:r>
        <w:rPr>
          <w:rStyle w:val="VerbatimChar"/>
        </w:rPr>
        <w:t xml:space="preserve">## </w:t>
      </w:r>
      <w:r>
        <w:cr/>
      </w:r>
      <w:r>
        <w:rPr>
          <w:rStyle w:val="VerbatimChar"/>
        </w:rPr>
        <w:t xml:space="preserve">## Mantel statistic r: 0.00237 </w:t>
      </w:r>
      <w:r>
        <w:cr/>
      </w:r>
      <w:r>
        <w:rPr>
          <w:rStyle w:val="VerbatimChar"/>
        </w:rPr>
        <w:t xml:space="preserve">##       Significance: 0.46 </w:t>
      </w:r>
      <w:r>
        <w:cr/>
      </w:r>
      <w:r>
        <w:rPr>
          <w:rStyle w:val="VerbatimChar"/>
        </w:rPr>
        <w:t xml:space="preserve">## </w:t>
      </w:r>
      <w:r>
        <w:cr/>
      </w:r>
      <w:r>
        <w:rPr>
          <w:rStyle w:val="VerbatimChar"/>
        </w:rPr>
        <w:t xml:space="preserve">## Upper quantiles of permutations (null model):</w:t>
      </w:r>
      <w:r>
        <w:cr/>
      </w:r>
      <w:r>
        <w:rPr>
          <w:rStyle w:val="VerbatimChar"/>
        </w:rPr>
        <w:t xml:space="preserve">##    90%    95%  97.5%    99% </w:t>
      </w:r>
      <w:r>
        <w:cr/>
      </w:r>
      <w:r>
        <w:rPr>
          <w:rStyle w:val="VerbatimChar"/>
        </w:rPr>
        <w:t xml:space="preserve">## 0.0618 0.0788 0.0896 0.1187 </w:t>
      </w:r>
      <w:r>
        <w:cr/>
      </w:r>
      <w:r>
        <w:rPr>
          <w:rStyle w:val="VerbatimChar"/>
        </w:rPr>
        <w:t xml:space="preserve">## </w:t>
      </w:r>
      <w:r>
        <w:cr/>
      </w:r>
      <w:r>
        <w:rPr>
          <w:rStyle w:val="VerbatimChar"/>
        </w:rPr>
        <w:t xml:space="preserve">## Based on 999 permutations</w:t>
      </w:r>
    </w:p>
    <w:p>
      <w:r>
        <w:t xml:space="preserve">No - not even close. So proximity to other samples doesn't matter. But we are testing this with all sample types together. Is it still unimportant if each sample type is considered independently?</w:t>
      </w:r>
    </w:p>
    <w:p>
      <w:pPr>
        <w:pStyle w:val="SourceCode"/>
      </w:pPr>
      <w:r>
        <w:rPr>
          <w:rStyle w:val="NormalTok"/>
        </w:rPr>
        <w:t xml:space="preserve">chair &lt;-</w:t>
      </w:r>
      <w:r>
        <w:rPr>
          <w:rStyle w:val="StringTok"/>
        </w:rPr>
        <w:t xml:space="preserve"> </w:t>
      </w:r>
      <w:r>
        <w:rPr>
          <w:rStyle w:val="KeywordTok"/>
        </w:rPr>
        <w:t xml:space="preserve">which</w:t>
      </w:r>
      <w:r>
        <w:rPr>
          <w:rStyle w:val="NormalTok"/>
        </w:rPr>
        <w:t xml:space="preserve">(map$SurfaceType ==</w:t>
      </w:r>
      <w:r>
        <w:rPr>
          <w:rStyle w:val="StringTok"/>
        </w:rPr>
        <w:t xml:space="preserve"> 'chair'</w:t>
      </w:r>
      <w:r>
        <w:rPr>
          <w:rStyle w:val="NormalTok"/>
        </w:rPr>
        <w:t xml:space="preserve">)</w:t>
      </w:r>
      <w:r>
        <w:cr/>
      </w:r>
      <w:r>
        <w:rPr>
          <w:rStyle w:val="NormalTok"/>
        </w:rPr>
        <w:t xml:space="preserve">wall &lt;-</w:t>
      </w:r>
      <w:r>
        <w:rPr>
          <w:rStyle w:val="StringTok"/>
        </w:rPr>
        <w:t xml:space="preserve"> </w:t>
      </w:r>
      <w:r>
        <w:rPr>
          <w:rStyle w:val="KeywordTok"/>
        </w:rPr>
        <w:t xml:space="preserve">which</w:t>
      </w:r>
      <w:r>
        <w:rPr>
          <w:rStyle w:val="NormalTok"/>
        </w:rPr>
        <w:t xml:space="preserve">(map$SurfaceType ==</w:t>
      </w:r>
      <w:r>
        <w:rPr>
          <w:rStyle w:val="StringTok"/>
        </w:rPr>
        <w:t xml:space="preserve"> 'wall'</w:t>
      </w:r>
      <w:r>
        <w:rPr>
          <w:rStyle w:val="NormalTok"/>
        </w:rPr>
        <w:t xml:space="preserve">)</w:t>
      </w:r>
      <w:r>
        <w:cr/>
      </w:r>
      <w:r>
        <w:rPr>
          <w:rStyle w:val="NormalTok"/>
        </w:rPr>
        <w:t xml:space="preserve">desk &lt;-</w:t>
      </w:r>
      <w:r>
        <w:rPr>
          <w:rStyle w:val="StringTok"/>
        </w:rPr>
        <w:t xml:space="preserve"> </w:t>
      </w:r>
      <w:r>
        <w:rPr>
          <w:rStyle w:val="KeywordTok"/>
        </w:rPr>
        <w:t xml:space="preserve">which</w:t>
      </w:r>
      <w:r>
        <w:rPr>
          <w:rStyle w:val="NormalTok"/>
        </w:rPr>
        <w:t xml:space="preserve">(map$SurfaceType ==</w:t>
      </w:r>
      <w:r>
        <w:rPr>
          <w:rStyle w:val="StringTok"/>
        </w:rPr>
        <w:t xml:space="preserve"> 'desk'</w:t>
      </w:r>
      <w:r>
        <w:rPr>
          <w:rStyle w:val="NormalTok"/>
        </w:rPr>
        <w:t xml:space="preserve">)</w:t>
      </w:r>
      <w:r>
        <w:cr/>
      </w:r>
      <w:r>
        <w:rPr>
          <w:rStyle w:val="NormalTok"/>
        </w:rPr>
        <w:t xml:space="preserve">floor &lt;-</w:t>
      </w:r>
      <w:r>
        <w:rPr>
          <w:rStyle w:val="StringTok"/>
        </w:rPr>
        <w:t xml:space="preserve"> </w:t>
      </w:r>
      <w:r>
        <w:rPr>
          <w:rStyle w:val="KeywordTok"/>
        </w:rPr>
        <w:t xml:space="preserve">which</w:t>
      </w:r>
      <w:r>
        <w:rPr>
          <w:rStyle w:val="NormalTok"/>
        </w:rPr>
        <w:t xml:space="preserve">(map$SurfaceType ==</w:t>
      </w:r>
      <w:r>
        <w:rPr>
          <w:rStyle w:val="StringTok"/>
        </w:rPr>
        <w:t xml:space="preserve"> 'floor'</w:t>
      </w:r>
      <w:r>
        <w:rPr>
          <w:rStyle w:val="NormalTok"/>
        </w:rPr>
        <w:t xml:space="preserve">)</w:t>
      </w:r>
      <w:r>
        <w:cr/>
      </w:r>
      <w:r>
        <w:cr/>
      </w:r>
      <w:r>
        <w:rPr>
          <w:rStyle w:val="NormalTok"/>
        </w:rPr>
        <w:t xml:space="preserve">testMantel &lt;-</w:t>
      </w:r>
      <w:r>
        <w:rPr>
          <w:rStyle w:val="StringTok"/>
        </w:rPr>
        <w:t xml:space="preserve"> </w:t>
      </w:r>
      <w:r>
        <w:rPr>
          <w:rStyle w:val="NormalTok"/>
        </w:rPr>
        <w:t xml:space="preserve">function(these) {</w:t>
      </w:r>
      <w:r>
        <w:cr/>
      </w:r>
      <w:r>
        <w:rPr>
          <w:rStyle w:val="NormalTok"/>
        </w:rPr>
        <w:t xml:space="preserve"> </w:t>
      </w:r>
      <w:r>
        <w:rPr>
          <w:rStyle w:val="NormalTok"/>
        </w:rPr>
        <w:t xml:space="preserve"> </w:t>
      </w:r>
      <w:r>
        <w:rPr>
          <w:rStyle w:val="KeywordTok"/>
        </w:rPr>
        <w:t xml:space="preserve">mantel</w:t>
      </w:r>
      <w:r>
        <w:rPr>
          <w:rStyle w:val="NormalTok"/>
        </w:rPr>
        <w:t xml:space="preserve">(</w:t>
      </w:r>
      <w:r>
        <w:rPr>
          <w:rStyle w:val="KeywordTok"/>
        </w:rPr>
        <w:t xml:space="preserve">vegdist</w:t>
      </w:r>
      <w:r>
        <w:rPr>
          <w:rStyle w:val="NormalTok"/>
        </w:rPr>
        <w:t xml:space="preserve">(tab[these, ], </w:t>
      </w:r>
      <w:r>
        <w:rPr>
          <w:rStyle w:val="StringTok"/>
        </w:rPr>
        <w:t xml:space="preserve">'canberra'</w:t>
      </w:r>
      <w:r>
        <w:rPr>
          <w:rStyle w:val="NormalTok"/>
        </w:rPr>
        <w:t xml:space="preserv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dist</w:t>
      </w:r>
      <w:r>
        <w:rPr>
          <w:rStyle w:val="NormalTok"/>
        </w:rPr>
        <w:t xml:space="preserve">(</w:t>
      </w:r>
      <w:r>
        <w:rPr>
          <w:rStyle w:val="KeywordTok"/>
        </w:rPr>
        <w:t xml:space="preserve">data.frame</w:t>
      </w:r>
      <w:r>
        <w:rPr>
          <w:rStyle w:val="NormalTok"/>
        </w:rPr>
        <w:t xml:space="preserve">(map$xcoor, map$ycoor)[these, ]))</w:t>
      </w:r>
      <w:r>
        <w:cr/>
      </w:r>
      <w:r>
        <w:rPr>
          <w:rStyle w:val="NormalTok"/>
        </w:rPr>
        <w:t xml:space="preserve"> </w:t>
      </w:r>
      <w:r>
        <w:rPr>
          <w:rStyle w:val="NormalTok"/>
        </w:rPr>
        <w:t xml:space="preserve"> </w:t>
      </w:r>
      <w:r>
        <w:rPr>
          <w:rStyle w:val="NormalTok"/>
        </w:rPr>
        <w:t xml:space="preserve">}</w:t>
      </w:r>
      <w:r>
        <w:cr/>
      </w:r>
      <w:r>
        <w:cr/>
      </w:r>
      <w:r>
        <w:rPr>
          <w:rStyle w:val="KeywordTok"/>
        </w:rPr>
        <w:t xml:space="preserve">testMantel</w:t>
      </w:r>
      <w:r>
        <w:rPr>
          <w:rStyle w:val="NormalTok"/>
        </w:rPr>
        <w:t xml:space="preserve">(chair)$signif</w:t>
      </w:r>
    </w:p>
    <w:p>
      <w:pPr>
        <w:pStyle w:val="SourceCode"/>
      </w:pPr>
      <w:r>
        <w:rPr>
          <w:rStyle w:val="VerbatimChar"/>
        </w:rPr>
        <w:t xml:space="preserve">## [1] 0.136</w:t>
      </w:r>
    </w:p>
    <w:p>
      <w:pPr>
        <w:pStyle w:val="SourceCode"/>
      </w:pPr>
      <w:r>
        <w:rPr>
          <w:rStyle w:val="KeywordTok"/>
        </w:rPr>
        <w:t xml:space="preserve">testMantel</w:t>
      </w:r>
      <w:r>
        <w:rPr>
          <w:rStyle w:val="NormalTok"/>
        </w:rPr>
        <w:t xml:space="preserve">(wall)$signif</w:t>
      </w:r>
    </w:p>
    <w:p>
      <w:pPr>
        <w:pStyle w:val="SourceCode"/>
      </w:pPr>
      <w:r>
        <w:rPr>
          <w:rStyle w:val="VerbatimChar"/>
        </w:rPr>
        <w:t xml:space="preserve">## [1] 0.937</w:t>
      </w:r>
    </w:p>
    <w:p>
      <w:pPr>
        <w:pStyle w:val="SourceCode"/>
      </w:pPr>
      <w:r>
        <w:rPr>
          <w:rStyle w:val="KeywordTok"/>
        </w:rPr>
        <w:t xml:space="preserve">testMantel</w:t>
      </w:r>
      <w:r>
        <w:rPr>
          <w:rStyle w:val="NormalTok"/>
        </w:rPr>
        <w:t xml:space="preserve">(desk)$signif</w:t>
      </w:r>
    </w:p>
    <w:p>
      <w:pPr>
        <w:pStyle w:val="SourceCode"/>
      </w:pPr>
      <w:r>
        <w:rPr>
          <w:rStyle w:val="VerbatimChar"/>
        </w:rPr>
        <w:t xml:space="preserve">## [1] 0.062</w:t>
      </w:r>
    </w:p>
    <w:p>
      <w:pPr>
        <w:pStyle w:val="SourceCode"/>
      </w:pPr>
      <w:r>
        <w:rPr>
          <w:rStyle w:val="KeywordTok"/>
        </w:rPr>
        <w:t xml:space="preserve">testMantel</w:t>
      </w:r>
      <w:r>
        <w:rPr>
          <w:rStyle w:val="NormalTok"/>
        </w:rPr>
        <w:t xml:space="preserve">(floor)$signif</w:t>
      </w:r>
    </w:p>
    <w:p>
      <w:pPr>
        <w:pStyle w:val="SourceCode"/>
      </w:pPr>
      <w:r>
        <w:rPr>
          <w:rStyle w:val="VerbatimChar"/>
        </w:rPr>
        <w:t xml:space="preserve">## [1] 0.615</w:t>
      </w:r>
    </w:p>
    <w:p>
      <w:r>
        <w:t xml:space="preserve">No. Not for any of the four surfaces.</w:t>
      </w:r>
    </w:p>
    <w:p>
      <w:r>
        <w:t xml:space="preserve">So it looks like the type of surface, potentially as a proxy for human contact, explains a significant amount of variation, in the microbial communities on those surfaces, but their proximity to each other around the room doesn't matter at all.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1aa15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hyperlink" Id="rId23" Target="http://www.microbiomejournal.com/content/2/1/7" TargetMode="External" /><Relationship Type="http://schemas.openxmlformats.org/officeDocument/2006/relationships/hyperlink" Id="rId32" Target="http://www.plosone.org/article/info%3Adoi%2F10.1371%2Fjournal.pone.0087093" TargetMode="External" /><Relationship Type="http://schemas.openxmlformats.org/officeDocument/2006/relationships/hyperlink" Id="rId25" Target="http://www.wernerlab.org/software/macqiime" TargetMode="External" /></Relationships>
</file>

<file path=word/_rels/footnotes.xml.rels><?xml version="1.0" encoding="UTF-8"?>
<Relationships xmlns="http://schemas.openxmlformats.org/package/2006/relationships"><Relationship Type="http://schemas.openxmlformats.org/officeDocument/2006/relationships/hyperlink" Id="rId23" Target="http://www.microbiomejournal.com/content/2/1/7" TargetMode="External" /><Relationship Type="http://schemas.openxmlformats.org/officeDocument/2006/relationships/hyperlink" Id="rId32" Target="http://www.plosone.org/article/info%3Adoi%2F10.1371%2Fjournal.pone.0087093" TargetMode="External" /><Relationship Type="http://schemas.openxmlformats.org/officeDocument/2006/relationships/hyperlink" Id="rId25" Target="http://www.wernerlab.org/software/macqii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