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788FBC1A" w:rsidR="004867F0" w:rsidRDefault="004867F0" w:rsidP="004867F0">
      <w:bookmarkStart w:id="0" w:name="_Toc101281433"/>
      <w:r>
        <w:rPr>
          <w:b/>
          <w:bCs/>
        </w:rPr>
        <w:t xml:space="preserve">Evidencia: </w:t>
      </w:r>
      <w:r>
        <w:t xml:space="preserve">Informe de </w:t>
      </w:r>
      <w:r w:rsidR="0057039D">
        <w:t>paradigma de investigación</w:t>
      </w:r>
    </w:p>
    <w:p w14:paraId="42A7C385" w14:textId="49B322F1" w:rsidR="00F812EA" w:rsidRDefault="004867F0" w:rsidP="00885FB6">
      <w:r>
        <w:rPr>
          <w:b/>
          <w:bCs/>
        </w:rPr>
        <w:t xml:space="preserve">Fecha: </w:t>
      </w:r>
      <w:r w:rsidR="0057039D">
        <w:t>21</w:t>
      </w:r>
      <w:r>
        <w:t>-</w:t>
      </w:r>
      <w:r w:rsidR="0057039D">
        <w:t>11</w:t>
      </w:r>
      <w:r>
        <w:t>-2021</w:t>
      </w:r>
      <w:bookmarkStart w:id="1" w:name="_Toc101281441"/>
      <w:bookmarkEnd w:id="0"/>
    </w:p>
    <w:bookmarkEnd w:id="1"/>
    <w:p w14:paraId="59623E31" w14:textId="7C4CBF53" w:rsidR="00EE4EC5" w:rsidRDefault="00EE4EC5"/>
    <w:p w14:paraId="2D61714B" w14:textId="77777777" w:rsidR="001225B7" w:rsidRPr="0075253B" w:rsidRDefault="001225B7" w:rsidP="001225B7">
      <w:pPr>
        <w:pStyle w:val="TTTTtulo"/>
        <w:rPr>
          <w:color w:val="auto"/>
        </w:rPr>
      </w:pPr>
      <w:bookmarkStart w:id="2" w:name="_Toc101281479"/>
      <w:r w:rsidRPr="0075253B">
        <w:rPr>
          <w:color w:val="auto"/>
        </w:rPr>
        <w:t xml:space="preserve">CAPÍTULO </w:t>
      </w:r>
      <w:r>
        <w:rPr>
          <w:color w:val="auto"/>
        </w:rPr>
        <w:t>I</w:t>
      </w:r>
      <w:r w:rsidRPr="0075253B">
        <w:rPr>
          <w:color w:val="auto"/>
        </w:rPr>
        <w:t xml:space="preserve">I:  </w:t>
      </w:r>
      <w:r>
        <w:rPr>
          <w:color w:val="auto"/>
        </w:rPr>
        <w:t>MATERIALES Y MÉTODOS</w:t>
      </w:r>
      <w:bookmarkEnd w:id="2"/>
    </w:p>
    <w:p w14:paraId="36C21ED6" w14:textId="77777777" w:rsidR="00055B78" w:rsidRDefault="00055B78" w:rsidP="00055B78">
      <w:pPr>
        <w:pStyle w:val="Sinespaciado"/>
        <w:numPr>
          <w:ilvl w:val="1"/>
          <w:numId w:val="26"/>
        </w:numPr>
        <w:spacing w:line="360" w:lineRule="auto"/>
        <w:rPr>
          <w:szCs w:val="24"/>
        </w:rPr>
      </w:pPr>
      <w:bookmarkStart w:id="3" w:name="_Toc101281481"/>
      <w:r w:rsidRPr="0090702F">
        <w:rPr>
          <w:szCs w:val="24"/>
        </w:rPr>
        <w:t>Paradigma de investigación realizad</w:t>
      </w:r>
      <w:r>
        <w:rPr>
          <w:szCs w:val="24"/>
        </w:rPr>
        <w:t>a.</w:t>
      </w:r>
      <w:bookmarkEnd w:id="3"/>
    </w:p>
    <w:p w14:paraId="5025CC8F" w14:textId="77777777" w:rsidR="00055B78" w:rsidRDefault="00055B78" w:rsidP="00055B78">
      <w:pPr>
        <w:spacing w:line="360" w:lineRule="auto"/>
        <w:jc w:val="both"/>
      </w:pPr>
      <w:r>
        <w:t>Esta investigación se la realizó bajo un enfoque cuantitativo debido principalmente a que se manipularán valores numéricos como latencia, cantidad de transacciones entre otros aspectos (ver figura 16) para su posterior medición con técnicas estadísticas y también esta investigación se ajusta al proceso cuantitativo propuesto por Sampieri en su libro de metodología de la investigación científica (ver figura 17) la misma que será utilizada para el cumplimiento de los objetivos propuestos.</w:t>
      </w:r>
    </w:p>
    <w:p w14:paraId="55257B77" w14:textId="77777777" w:rsidR="00055B78" w:rsidRDefault="00055B78" w:rsidP="00055B78">
      <w:pPr>
        <w:keepNext/>
        <w:jc w:val="center"/>
      </w:pPr>
      <w:r>
        <w:rPr>
          <w:noProof/>
          <w:lang w:val="en-US"/>
        </w:rPr>
        <w:drawing>
          <wp:inline distT="0" distB="0" distL="0" distR="0" wp14:anchorId="79D91734" wp14:editId="185C24AC">
            <wp:extent cx="3771900" cy="142244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5195" cy="1450089"/>
                    </a:xfrm>
                    <a:prstGeom prst="rect">
                      <a:avLst/>
                    </a:prstGeom>
                    <a:noFill/>
                    <a:ln>
                      <a:noFill/>
                    </a:ln>
                  </pic:spPr>
                </pic:pic>
              </a:graphicData>
            </a:graphic>
          </wp:inline>
        </w:drawing>
      </w:r>
    </w:p>
    <w:p w14:paraId="19FE6531" w14:textId="77777777" w:rsidR="00055B78" w:rsidRDefault="00055B78" w:rsidP="00055B78">
      <w:pPr>
        <w:pStyle w:val="Descripcin"/>
        <w:spacing w:after="0"/>
        <w:jc w:val="center"/>
      </w:pPr>
      <w:bookmarkStart w:id="4" w:name="_Toc101281543"/>
      <w:r>
        <w:t xml:space="preserve">Figura </w:t>
      </w:r>
      <w:r>
        <w:fldChar w:fldCharType="begin"/>
      </w:r>
      <w:r>
        <w:instrText xml:space="preserve"> SEQ Figura \* ARABIC </w:instrText>
      </w:r>
      <w:r>
        <w:fldChar w:fldCharType="separate"/>
      </w:r>
      <w:r>
        <w:rPr>
          <w:noProof/>
        </w:rPr>
        <w:t>16</w:t>
      </w:r>
      <w:r>
        <w:rPr>
          <w:noProof/>
        </w:rPr>
        <w:fldChar w:fldCharType="end"/>
      </w:r>
      <w:r>
        <w:t>: Enfoque cuantitativo a nivel arquitectónico</w:t>
      </w:r>
      <w:bookmarkEnd w:id="4"/>
    </w:p>
    <w:p w14:paraId="4F7CBDED" w14:textId="77777777" w:rsidR="00055B78" w:rsidRDefault="00055B78" w:rsidP="00055B78">
      <w:pPr>
        <w:jc w:val="center"/>
        <w:rPr>
          <w:i/>
          <w:iCs/>
          <w:sz w:val="20"/>
          <w:szCs w:val="20"/>
        </w:rPr>
      </w:pPr>
      <w:r w:rsidRPr="006D3D85">
        <w:rPr>
          <w:i/>
          <w:iCs/>
          <w:sz w:val="20"/>
          <w:szCs w:val="20"/>
        </w:rPr>
        <w:t xml:space="preserve">Fuente: </w:t>
      </w:r>
      <w:r>
        <w:rPr>
          <w:i/>
          <w:iCs/>
          <w:sz w:val="20"/>
          <w:szCs w:val="20"/>
        </w:rPr>
        <w:t>Elaboración propia</w:t>
      </w:r>
      <w:r w:rsidRPr="006D3D85">
        <w:rPr>
          <w:i/>
          <w:iCs/>
          <w:sz w:val="20"/>
          <w:szCs w:val="20"/>
        </w:rPr>
        <w:t>.</w:t>
      </w:r>
    </w:p>
    <w:p w14:paraId="7F8EFE9E" w14:textId="77777777" w:rsidR="00055B78" w:rsidRDefault="00055B78" w:rsidP="00055B78">
      <w:pPr>
        <w:keepNext/>
        <w:jc w:val="center"/>
      </w:pPr>
      <w:r>
        <w:rPr>
          <w:noProof/>
          <w:lang w:val="en-US"/>
        </w:rPr>
        <w:drawing>
          <wp:inline distT="0" distB="0" distL="0" distR="0" wp14:anchorId="21F79ADA" wp14:editId="32FC51CC">
            <wp:extent cx="4248150" cy="1749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592" cy="1762867"/>
                    </a:xfrm>
                    <a:prstGeom prst="rect">
                      <a:avLst/>
                    </a:prstGeom>
                  </pic:spPr>
                </pic:pic>
              </a:graphicData>
            </a:graphic>
          </wp:inline>
        </w:drawing>
      </w:r>
    </w:p>
    <w:p w14:paraId="2BCAE537" w14:textId="77777777" w:rsidR="00055B78" w:rsidRDefault="00055B78" w:rsidP="00055B78">
      <w:pPr>
        <w:pStyle w:val="Descripcin"/>
        <w:spacing w:after="0"/>
        <w:jc w:val="center"/>
      </w:pPr>
      <w:bookmarkStart w:id="5" w:name="_Toc101281544"/>
      <w:r>
        <w:t xml:space="preserve">Figura </w:t>
      </w:r>
      <w:r>
        <w:fldChar w:fldCharType="begin"/>
      </w:r>
      <w:r>
        <w:instrText xml:space="preserve"> SEQ Figura \* ARABIC </w:instrText>
      </w:r>
      <w:r>
        <w:fldChar w:fldCharType="separate"/>
      </w:r>
      <w:r>
        <w:rPr>
          <w:noProof/>
        </w:rPr>
        <w:t>17</w:t>
      </w:r>
      <w:r>
        <w:rPr>
          <w:noProof/>
        </w:rPr>
        <w:fldChar w:fldCharType="end"/>
      </w:r>
      <w:r>
        <w:t>: Fases del enfoque cuantitativo</w:t>
      </w:r>
      <w:bookmarkEnd w:id="5"/>
    </w:p>
    <w:p w14:paraId="21C84586" w14:textId="77777777" w:rsidR="00055B78" w:rsidRPr="00B31F58" w:rsidRDefault="00055B78" w:rsidP="00055B78">
      <w:pPr>
        <w:jc w:val="center"/>
        <w:rPr>
          <w:b/>
          <w:bCs/>
          <w:sz w:val="20"/>
          <w:szCs w:val="18"/>
        </w:rPr>
      </w:pPr>
      <w:r w:rsidRPr="00256BE1">
        <w:rPr>
          <w:b/>
          <w:bCs/>
          <w:sz w:val="20"/>
          <w:szCs w:val="18"/>
        </w:rPr>
        <w:t xml:space="preserve">Fuente: </w:t>
      </w:r>
      <w:sdt>
        <w:sdtPr>
          <w:rPr>
            <w:b/>
            <w:bCs/>
            <w:sz w:val="20"/>
            <w:szCs w:val="18"/>
          </w:rPr>
          <w:id w:val="267045639"/>
          <w:citation/>
        </w:sdtPr>
        <w:sdtContent>
          <w:r w:rsidRPr="00256BE1">
            <w:rPr>
              <w:b/>
              <w:bCs/>
              <w:sz w:val="20"/>
              <w:szCs w:val="18"/>
            </w:rPr>
            <w:fldChar w:fldCharType="begin"/>
          </w:r>
          <w:r w:rsidRPr="00256BE1">
            <w:rPr>
              <w:b/>
              <w:bCs/>
              <w:sz w:val="20"/>
              <w:szCs w:val="18"/>
              <w:lang w:val="es-MX"/>
            </w:rPr>
            <w:instrText xml:space="preserve"> CITATION Sam14 \l 2058 </w:instrText>
          </w:r>
          <w:r w:rsidRPr="00256BE1">
            <w:rPr>
              <w:b/>
              <w:bCs/>
              <w:sz w:val="20"/>
              <w:szCs w:val="18"/>
            </w:rPr>
            <w:fldChar w:fldCharType="separate"/>
          </w:r>
          <w:r w:rsidRPr="004E3E33">
            <w:rPr>
              <w:noProof/>
              <w:sz w:val="20"/>
              <w:szCs w:val="18"/>
              <w:lang w:val="es-MX"/>
            </w:rPr>
            <w:t>[154]</w:t>
          </w:r>
          <w:r w:rsidRPr="00256BE1">
            <w:rPr>
              <w:b/>
              <w:bCs/>
              <w:sz w:val="20"/>
              <w:szCs w:val="18"/>
            </w:rPr>
            <w:fldChar w:fldCharType="end"/>
          </w:r>
        </w:sdtContent>
      </w:sdt>
    </w:p>
    <w:p w14:paraId="1B1FF7A7" w14:textId="77777777" w:rsidR="00055B78" w:rsidRDefault="00055B78" w:rsidP="00055B78">
      <w:pPr>
        <w:spacing w:line="360" w:lineRule="auto"/>
        <w:jc w:val="both"/>
      </w:pPr>
      <w:r>
        <w:t xml:space="preserve">Finalmente, según el grado de uso de la variable, la investigación será de tipo cuasiexperimental por las razones de que en esta investigación no será posible seleccionar la población al azar sino que existirá un grupo determinado de transacciones etiquetadas potencialmente como fraudulentas o estafas,  también porque la variable independiente será manipulada en un ambiente de producción con un grupo específico de sujetos </w:t>
      </w:r>
      <w:r>
        <w:lastRenderedPageBreak/>
        <w:t>obtenidos de las transacciones financieras realizadas por los usuarios de la aplicación de Pay2Meta para posteriormente verificar el comportamiento de los DLT ante distintas funcionalidades de la aplicación Fintech donde se han detectado casos de estafas y fraudes. En la tabla 5 se muestra las dos fases de experimentación que se utilizarán para esta investigación, con sus respectivas descripciones y aplicación.</w:t>
      </w:r>
    </w:p>
    <w:tbl>
      <w:tblPr>
        <w:tblStyle w:val="Tablaconcuadrcula"/>
        <w:tblW w:w="0" w:type="auto"/>
        <w:tblLook w:val="04A0" w:firstRow="1" w:lastRow="0" w:firstColumn="1" w:lastColumn="0" w:noHBand="0" w:noVBand="1"/>
      </w:tblPr>
      <w:tblGrid>
        <w:gridCol w:w="1616"/>
        <w:gridCol w:w="3634"/>
        <w:gridCol w:w="3244"/>
      </w:tblGrid>
      <w:tr w:rsidR="00055B78" w14:paraId="186A178A" w14:textId="77777777" w:rsidTr="00CA3DF5">
        <w:tc>
          <w:tcPr>
            <w:tcW w:w="1526" w:type="dxa"/>
            <w:shd w:val="clear" w:color="auto" w:fill="2F5496" w:themeFill="accent1" w:themeFillShade="BF"/>
          </w:tcPr>
          <w:p w14:paraId="346C9092" w14:textId="77777777" w:rsidR="00055B78" w:rsidRPr="00FD0878" w:rsidRDefault="00055B78" w:rsidP="00CA3DF5">
            <w:pPr>
              <w:spacing w:line="360" w:lineRule="auto"/>
              <w:jc w:val="center"/>
              <w:rPr>
                <w:b/>
                <w:bCs/>
                <w:color w:val="FFFFFF" w:themeColor="background1"/>
                <w:sz w:val="20"/>
                <w:szCs w:val="20"/>
              </w:rPr>
            </w:pPr>
            <w:r w:rsidRPr="00FD0878">
              <w:rPr>
                <w:b/>
                <w:bCs/>
                <w:color w:val="FFFFFF" w:themeColor="background1"/>
                <w:sz w:val="20"/>
                <w:szCs w:val="20"/>
              </w:rPr>
              <w:t>Fases</w:t>
            </w:r>
          </w:p>
        </w:tc>
        <w:tc>
          <w:tcPr>
            <w:tcW w:w="3685" w:type="dxa"/>
            <w:shd w:val="clear" w:color="auto" w:fill="2F5496" w:themeFill="accent1" w:themeFillShade="BF"/>
          </w:tcPr>
          <w:p w14:paraId="43F2EEC8" w14:textId="77777777" w:rsidR="00055B78" w:rsidRPr="00FD0878" w:rsidRDefault="00055B78" w:rsidP="00CA3DF5">
            <w:pPr>
              <w:spacing w:line="360" w:lineRule="auto"/>
              <w:jc w:val="center"/>
              <w:rPr>
                <w:b/>
                <w:bCs/>
                <w:color w:val="FFFFFF" w:themeColor="background1"/>
                <w:sz w:val="20"/>
                <w:szCs w:val="20"/>
              </w:rPr>
            </w:pPr>
            <w:r w:rsidRPr="00FD0878">
              <w:rPr>
                <w:b/>
                <w:bCs/>
                <w:color w:val="FFFFFF" w:themeColor="background1"/>
                <w:sz w:val="20"/>
                <w:szCs w:val="20"/>
              </w:rPr>
              <w:t>Descripción</w:t>
            </w:r>
          </w:p>
        </w:tc>
        <w:tc>
          <w:tcPr>
            <w:tcW w:w="3283" w:type="dxa"/>
            <w:shd w:val="clear" w:color="auto" w:fill="2F5496" w:themeFill="accent1" w:themeFillShade="BF"/>
          </w:tcPr>
          <w:p w14:paraId="59BF3BE8" w14:textId="77777777" w:rsidR="00055B78" w:rsidRPr="00FD0878" w:rsidRDefault="00055B78" w:rsidP="00CA3DF5">
            <w:pPr>
              <w:spacing w:line="360" w:lineRule="auto"/>
              <w:jc w:val="center"/>
              <w:rPr>
                <w:b/>
                <w:bCs/>
                <w:color w:val="FFFFFF" w:themeColor="background1"/>
                <w:sz w:val="20"/>
                <w:szCs w:val="20"/>
              </w:rPr>
            </w:pPr>
            <w:r w:rsidRPr="00FD0878">
              <w:rPr>
                <w:b/>
                <w:bCs/>
                <w:color w:val="FFFFFF" w:themeColor="background1"/>
                <w:sz w:val="20"/>
                <w:szCs w:val="20"/>
              </w:rPr>
              <w:t>Aplicación</w:t>
            </w:r>
          </w:p>
        </w:tc>
      </w:tr>
      <w:tr w:rsidR="00055B78" w14:paraId="6EE56E4B" w14:textId="77777777" w:rsidTr="00CA3DF5">
        <w:tc>
          <w:tcPr>
            <w:tcW w:w="1526" w:type="dxa"/>
          </w:tcPr>
          <w:p w14:paraId="3915BDF5" w14:textId="77777777" w:rsidR="00055B78" w:rsidRPr="00C40A41" w:rsidRDefault="00055B78" w:rsidP="00CA3DF5">
            <w:pPr>
              <w:spacing w:line="360" w:lineRule="auto"/>
              <w:jc w:val="both"/>
              <w:rPr>
                <w:sz w:val="20"/>
                <w:szCs w:val="20"/>
              </w:rPr>
            </w:pPr>
            <w:r w:rsidRPr="00C40A41">
              <w:rPr>
                <w:sz w:val="20"/>
                <w:szCs w:val="20"/>
              </w:rPr>
              <w:t>Baja transaccionalidad</w:t>
            </w:r>
          </w:p>
        </w:tc>
        <w:tc>
          <w:tcPr>
            <w:tcW w:w="3685" w:type="dxa"/>
          </w:tcPr>
          <w:p w14:paraId="12253C05" w14:textId="77777777" w:rsidR="00055B78" w:rsidRPr="00C40A41" w:rsidRDefault="00055B78" w:rsidP="00CA3DF5">
            <w:pPr>
              <w:spacing w:line="360" w:lineRule="auto"/>
              <w:jc w:val="both"/>
              <w:rPr>
                <w:sz w:val="20"/>
                <w:szCs w:val="20"/>
              </w:rPr>
            </w:pPr>
            <w:r w:rsidRPr="00C40A41">
              <w:rPr>
                <w:sz w:val="20"/>
                <w:szCs w:val="20"/>
              </w:rPr>
              <w:t>Son aquellas transacciones que tomarán un tiempo en concatenarse a los DLT.</w:t>
            </w:r>
          </w:p>
        </w:tc>
        <w:tc>
          <w:tcPr>
            <w:tcW w:w="3283" w:type="dxa"/>
          </w:tcPr>
          <w:p w14:paraId="397C4164" w14:textId="77777777" w:rsidR="00055B78" w:rsidRPr="00C40A41" w:rsidRDefault="00055B78" w:rsidP="00CA3DF5">
            <w:pPr>
              <w:spacing w:line="360" w:lineRule="auto"/>
              <w:jc w:val="both"/>
              <w:rPr>
                <w:sz w:val="20"/>
                <w:szCs w:val="20"/>
              </w:rPr>
            </w:pPr>
            <w:r w:rsidRPr="00C40A41">
              <w:rPr>
                <w:sz w:val="20"/>
                <w:szCs w:val="20"/>
              </w:rPr>
              <w:t xml:space="preserve">Se aplicarán en aquellas funcionalidades que requieran de la utilización de los </w:t>
            </w:r>
            <w:proofErr w:type="spellStart"/>
            <w:r w:rsidRPr="00C40A41">
              <w:rPr>
                <w:sz w:val="20"/>
                <w:szCs w:val="20"/>
              </w:rPr>
              <w:t>smart</w:t>
            </w:r>
            <w:proofErr w:type="spellEnd"/>
            <w:r w:rsidRPr="00C40A41">
              <w:rPr>
                <w:sz w:val="20"/>
                <w:szCs w:val="20"/>
              </w:rPr>
              <w:t xml:space="preserve"> </w:t>
            </w:r>
            <w:proofErr w:type="spellStart"/>
            <w:r w:rsidRPr="00C40A41">
              <w:rPr>
                <w:sz w:val="20"/>
                <w:szCs w:val="20"/>
              </w:rPr>
              <w:t>contracts</w:t>
            </w:r>
            <w:proofErr w:type="spellEnd"/>
            <w:r w:rsidRPr="00C40A41">
              <w:rPr>
                <w:sz w:val="20"/>
                <w:szCs w:val="20"/>
              </w:rPr>
              <w:t>.</w:t>
            </w:r>
          </w:p>
        </w:tc>
      </w:tr>
      <w:tr w:rsidR="00055B78" w14:paraId="3D503C95" w14:textId="77777777" w:rsidTr="00CA3DF5">
        <w:tc>
          <w:tcPr>
            <w:tcW w:w="1526" w:type="dxa"/>
          </w:tcPr>
          <w:p w14:paraId="72C532B2" w14:textId="77777777" w:rsidR="00055B78" w:rsidRPr="00C40A41" w:rsidRDefault="00055B78" w:rsidP="00CA3DF5">
            <w:pPr>
              <w:spacing w:line="360" w:lineRule="auto"/>
              <w:jc w:val="both"/>
              <w:rPr>
                <w:sz w:val="20"/>
                <w:szCs w:val="20"/>
              </w:rPr>
            </w:pPr>
            <w:r w:rsidRPr="00C40A41">
              <w:rPr>
                <w:sz w:val="20"/>
                <w:szCs w:val="20"/>
              </w:rPr>
              <w:t>Alta transaccionalidad</w:t>
            </w:r>
          </w:p>
        </w:tc>
        <w:tc>
          <w:tcPr>
            <w:tcW w:w="3685" w:type="dxa"/>
          </w:tcPr>
          <w:p w14:paraId="1236D5D2" w14:textId="77777777" w:rsidR="00055B78" w:rsidRPr="00C40A41" w:rsidRDefault="00055B78" w:rsidP="00CA3DF5">
            <w:pPr>
              <w:spacing w:line="360" w:lineRule="auto"/>
              <w:jc w:val="both"/>
              <w:rPr>
                <w:sz w:val="20"/>
                <w:szCs w:val="20"/>
              </w:rPr>
            </w:pPr>
            <w:r w:rsidRPr="00C40A41">
              <w:rPr>
                <w:sz w:val="20"/>
                <w:szCs w:val="20"/>
              </w:rPr>
              <w:t>Son aquellas transacciones que se concatenarán a los DLT ni bien termine la operación del usuario.</w:t>
            </w:r>
          </w:p>
        </w:tc>
        <w:tc>
          <w:tcPr>
            <w:tcW w:w="3283" w:type="dxa"/>
          </w:tcPr>
          <w:p w14:paraId="5CB59634" w14:textId="77777777" w:rsidR="00055B78" w:rsidRPr="00C40A41" w:rsidRDefault="00055B78" w:rsidP="00CA3DF5">
            <w:pPr>
              <w:keepNext/>
              <w:spacing w:line="360" w:lineRule="auto"/>
              <w:jc w:val="both"/>
              <w:rPr>
                <w:sz w:val="20"/>
                <w:szCs w:val="20"/>
              </w:rPr>
            </w:pPr>
            <w:r w:rsidRPr="00C40A41">
              <w:rPr>
                <w:sz w:val="20"/>
                <w:szCs w:val="20"/>
              </w:rPr>
              <w:t>Se aplicarán en aquellas funcionalidades que requieran de la utilización de IOTA y NFT de Tatum.</w:t>
            </w:r>
          </w:p>
        </w:tc>
      </w:tr>
    </w:tbl>
    <w:p w14:paraId="4A30E4FD" w14:textId="77777777" w:rsidR="00055B78" w:rsidRDefault="00055B78" w:rsidP="00055B78">
      <w:pPr>
        <w:pStyle w:val="Descripcin"/>
        <w:spacing w:after="0"/>
        <w:jc w:val="center"/>
      </w:pPr>
      <w:bookmarkStart w:id="6" w:name="_Toc101281597"/>
      <w:r>
        <w:t xml:space="preserve">Tabla </w:t>
      </w:r>
      <w:r>
        <w:fldChar w:fldCharType="begin"/>
      </w:r>
      <w:r>
        <w:instrText xml:space="preserve"> SEQ Tabla \* ARABIC </w:instrText>
      </w:r>
      <w:r>
        <w:fldChar w:fldCharType="separate"/>
      </w:r>
      <w:r>
        <w:rPr>
          <w:noProof/>
        </w:rPr>
        <w:t>5</w:t>
      </w:r>
      <w:r>
        <w:rPr>
          <w:noProof/>
        </w:rPr>
        <w:fldChar w:fldCharType="end"/>
      </w:r>
      <w:r>
        <w:t xml:space="preserve">: </w:t>
      </w:r>
      <w:r w:rsidRPr="00E534B0">
        <w:t>Fases de experimentación</w:t>
      </w:r>
      <w:bookmarkEnd w:id="6"/>
    </w:p>
    <w:p w14:paraId="50CD94FA" w14:textId="77777777" w:rsidR="00055B78" w:rsidRPr="00250144" w:rsidRDefault="00055B78" w:rsidP="00055B78">
      <w:pPr>
        <w:spacing w:after="0" w:line="240" w:lineRule="auto"/>
        <w:jc w:val="center"/>
        <w:rPr>
          <w:i/>
          <w:iCs/>
          <w:sz w:val="20"/>
          <w:szCs w:val="20"/>
        </w:rPr>
      </w:pPr>
      <w:r w:rsidRPr="006D3D85">
        <w:rPr>
          <w:i/>
          <w:iCs/>
          <w:sz w:val="20"/>
          <w:szCs w:val="20"/>
        </w:rPr>
        <w:t xml:space="preserve">Fuente: </w:t>
      </w:r>
      <w:r>
        <w:rPr>
          <w:i/>
          <w:iCs/>
          <w:sz w:val="20"/>
          <w:szCs w:val="20"/>
        </w:rPr>
        <w:t>Elaboración propia</w:t>
      </w:r>
      <w:r w:rsidRPr="006D3D85">
        <w:rPr>
          <w:i/>
          <w:iCs/>
          <w:sz w:val="20"/>
          <w:szCs w:val="20"/>
        </w:rPr>
        <w:t>.</w:t>
      </w:r>
    </w:p>
    <w:p w14:paraId="2754C1D3" w14:textId="77777777" w:rsidR="00AB0CB9" w:rsidRDefault="00AB0CB9"/>
    <w:sectPr w:rsidR="00AB0C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5A1"/>
    <w:rsid w:val="001225B7"/>
    <w:rsid w:val="00193945"/>
    <w:rsid w:val="002523DD"/>
    <w:rsid w:val="002734F7"/>
    <w:rsid w:val="002D4AFE"/>
    <w:rsid w:val="0036190F"/>
    <w:rsid w:val="004867F0"/>
    <w:rsid w:val="004A56F2"/>
    <w:rsid w:val="0057039D"/>
    <w:rsid w:val="005F0D4E"/>
    <w:rsid w:val="006F072A"/>
    <w:rsid w:val="008329C1"/>
    <w:rsid w:val="00876F1E"/>
    <w:rsid w:val="00885FB6"/>
    <w:rsid w:val="00925849"/>
    <w:rsid w:val="009B1C71"/>
    <w:rsid w:val="00AB0CB9"/>
    <w:rsid w:val="00C13F6D"/>
    <w:rsid w:val="00E66B69"/>
    <w:rsid w:val="00EE4EC5"/>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s>
</file>

<file path=customXml/itemProps1.xml><?xml version="1.0" encoding="utf-8"?>
<ds:datastoreItem xmlns:ds="http://schemas.openxmlformats.org/officeDocument/2006/customXml" ds:itemID="{4F7A35EC-3A21-4C54-8E8B-A3A0EC5B1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1887</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2022-04-20T15:26:00Z</dcterms:created>
  <dcterms:modified xsi:type="dcterms:W3CDTF">2022-04-20T15:27:00Z</dcterms:modified>
</cp:coreProperties>
</file>