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AF523" w14:textId="75D6206D" w:rsidR="004867F0" w:rsidRDefault="004867F0" w:rsidP="004867F0">
      <w:bookmarkStart w:id="0" w:name="_Toc101281433"/>
      <w:r>
        <w:rPr>
          <w:b/>
          <w:bCs/>
        </w:rPr>
        <w:t xml:space="preserve">Evidencia: </w:t>
      </w:r>
      <w:r w:rsidR="00BD5B6A">
        <w:t>Hallazgos fundamentales</w:t>
      </w:r>
    </w:p>
    <w:p w14:paraId="42A7C385" w14:textId="3B69AB0F" w:rsidR="00F812EA" w:rsidRDefault="004867F0" w:rsidP="00885FB6">
      <w:r>
        <w:rPr>
          <w:b/>
          <w:bCs/>
        </w:rPr>
        <w:t xml:space="preserve">Fecha: </w:t>
      </w:r>
      <w:r w:rsidR="00BD5B6A">
        <w:t>06</w:t>
      </w:r>
      <w:r>
        <w:t>-</w:t>
      </w:r>
      <w:r w:rsidR="00BD5B6A">
        <w:t>03</w:t>
      </w:r>
      <w:r>
        <w:t>-</w:t>
      </w:r>
      <w:bookmarkStart w:id="1" w:name="_Toc101281441"/>
      <w:bookmarkEnd w:id="0"/>
      <w:r w:rsidR="002F1244">
        <w:t>2022</w:t>
      </w:r>
    </w:p>
    <w:p w14:paraId="72AB26DF" w14:textId="77777777" w:rsidR="002777E4" w:rsidRDefault="002777E4" w:rsidP="002777E4">
      <w:pPr>
        <w:pStyle w:val="TTTTtulo"/>
        <w:rPr>
          <w:color w:val="auto"/>
        </w:rPr>
      </w:pPr>
      <w:bookmarkStart w:id="2" w:name="_Toc101281501"/>
      <w:r w:rsidRPr="0075253B">
        <w:rPr>
          <w:color w:val="auto"/>
        </w:rPr>
        <w:t xml:space="preserve">CAPÍTULO </w:t>
      </w:r>
      <w:r>
        <w:rPr>
          <w:color w:val="auto"/>
        </w:rPr>
        <w:t>IV</w:t>
      </w:r>
      <w:r w:rsidRPr="0075253B">
        <w:rPr>
          <w:color w:val="auto"/>
        </w:rPr>
        <w:t xml:space="preserve">:  </w:t>
      </w:r>
      <w:r>
        <w:rPr>
          <w:color w:val="auto"/>
        </w:rPr>
        <w:t>DISCUSIÓN DE RESULTADOS</w:t>
      </w:r>
      <w:bookmarkEnd w:id="2"/>
    </w:p>
    <w:p w14:paraId="2AFF3193" w14:textId="77777777" w:rsidR="002777E4" w:rsidRDefault="002777E4" w:rsidP="002777E4">
      <w:pPr>
        <w:spacing w:line="360" w:lineRule="auto"/>
        <w:jc w:val="both"/>
      </w:pPr>
      <w:r>
        <w:t>El siguiente capítulo detalla los principales resultados obtenidos en la investigación, comenzando con la sección 4.1 que trata sobre los principales hallazgos encontrados, seguido de la sección 4.2 donde se detallan la relación de los resultados obtenidos con trabajos previos realizados por otros autores, la sección 4.3 que trata sobre trabajos futuros detectados al finalizar la investigación y finalmente las conclusiones y recomendaciones.</w:t>
      </w:r>
    </w:p>
    <w:p w14:paraId="1B1D91EC" w14:textId="77777777" w:rsidR="002777E4" w:rsidRDefault="002777E4" w:rsidP="002777E4">
      <w:pPr>
        <w:pStyle w:val="Sinespaciado"/>
        <w:numPr>
          <w:ilvl w:val="1"/>
          <w:numId w:val="41"/>
        </w:numPr>
        <w:spacing w:line="360" w:lineRule="auto"/>
      </w:pPr>
      <w:bookmarkStart w:id="3" w:name="_Toc101281502"/>
      <w:r>
        <w:t>Hallazgos fundamentales.</w:t>
      </w:r>
      <w:bookmarkEnd w:id="3"/>
    </w:p>
    <w:p w14:paraId="5873C314" w14:textId="77777777" w:rsidR="002777E4" w:rsidRDefault="002777E4" w:rsidP="002777E4">
      <w:pPr>
        <w:spacing w:line="360" w:lineRule="auto"/>
        <w:jc w:val="both"/>
      </w:pPr>
      <w:r>
        <w:t xml:space="preserve">Al finalizar la siguiente investigación se logró implementar de manera exitosa tres tecnologías de registros distribuidos en una arquitectura de microservicios de Google Cloud. Fueron en total tres instancias de Google Cloud utilizados para el despliegue de las aplicaciones clientes, es este caso dos aplicaciones web y una aplicación móvil, también se utilizaron 12 microservicios implementados con </w:t>
      </w:r>
      <w:proofErr w:type="spellStart"/>
      <w:r>
        <w:t>firebase</w:t>
      </w:r>
      <w:proofErr w:type="spellEnd"/>
      <w:r>
        <w:t xml:space="preserve"> </w:t>
      </w:r>
      <w:proofErr w:type="spellStart"/>
      <w:r>
        <w:t>cloud</w:t>
      </w:r>
      <w:proofErr w:type="spellEnd"/>
      <w:r>
        <w:t xml:space="preserve"> </w:t>
      </w:r>
      <w:proofErr w:type="spellStart"/>
      <w:r>
        <w:t>functions</w:t>
      </w:r>
      <w:proofErr w:type="spellEnd"/>
      <w:r>
        <w:t xml:space="preserve"> programados en </w:t>
      </w:r>
      <w:proofErr w:type="spellStart"/>
      <w:r>
        <w:t>NodeJS</w:t>
      </w:r>
      <w:proofErr w:type="spellEnd"/>
      <w:r>
        <w:t xml:space="preserve"> 14, Python 3.5 y </w:t>
      </w:r>
      <w:proofErr w:type="spellStart"/>
      <w:r>
        <w:t>solidity</w:t>
      </w:r>
      <w:proofErr w:type="spellEnd"/>
      <w:r>
        <w:t xml:space="preserve"> 0.8 para los procesos transaccionales, notificaciones, conexiones y almacenamiento con IOTA, ejecución de los </w:t>
      </w:r>
      <w:proofErr w:type="spellStart"/>
      <w:r>
        <w:t>smart</w:t>
      </w:r>
      <w:proofErr w:type="spellEnd"/>
      <w:r>
        <w:t xml:space="preserve"> </w:t>
      </w:r>
      <w:proofErr w:type="spellStart"/>
      <w:r>
        <w:t>contract</w:t>
      </w:r>
      <w:proofErr w:type="spellEnd"/>
      <w:r>
        <w:t xml:space="preserve"> ERC-20 y ERC-721 con </w:t>
      </w:r>
      <w:proofErr w:type="spellStart"/>
      <w:r>
        <w:t>Iotex</w:t>
      </w:r>
      <w:proofErr w:type="spellEnd"/>
      <w:r>
        <w:t xml:space="preserve"> y Tatum </w:t>
      </w:r>
      <w:proofErr w:type="spellStart"/>
      <w:r>
        <w:t>blockchain</w:t>
      </w:r>
      <w:proofErr w:type="spellEnd"/>
      <w:r>
        <w:t>.</w:t>
      </w:r>
    </w:p>
    <w:p w14:paraId="6C0FC6E1" w14:textId="77777777" w:rsidR="002777E4" w:rsidRDefault="002777E4" w:rsidP="002777E4">
      <w:pPr>
        <w:spacing w:line="360" w:lineRule="auto"/>
        <w:jc w:val="both"/>
      </w:pPr>
      <w:r>
        <w:t>Tras la correcta implementación del sistema mencionado anteriormente se obtuvieron los siguientes hallazgos fundamentales:</w:t>
      </w:r>
    </w:p>
    <w:p w14:paraId="344DA62B" w14:textId="77777777" w:rsidR="002777E4" w:rsidRDefault="002777E4" w:rsidP="002777E4">
      <w:pPr>
        <w:pStyle w:val="Sinespaciado"/>
        <w:numPr>
          <w:ilvl w:val="2"/>
          <w:numId w:val="41"/>
        </w:numPr>
        <w:spacing w:line="360" w:lineRule="auto"/>
      </w:pPr>
      <w:bookmarkStart w:id="4" w:name="_Toc101281503"/>
      <w:r>
        <w:t>Usuarios verificados y con identidad digital con NFT.</w:t>
      </w:r>
      <w:bookmarkEnd w:id="4"/>
    </w:p>
    <w:p w14:paraId="21EC7FFD" w14:textId="77777777" w:rsidR="002777E4" w:rsidRDefault="002777E4" w:rsidP="002777E4">
      <w:pPr>
        <w:spacing w:line="360" w:lineRule="auto"/>
        <w:jc w:val="both"/>
      </w:pPr>
      <w:r>
        <w:t xml:space="preserve">Pay2Meta realizó un pre registro de usuarios durante los meses de enero, febrero y marzo donde se les permitieron realizar la verificación biométrica y la obtención de su identidad digital con NFT para verificar su cuenta dentro de la plataforma. En la figura 56 se ilustra la cantidad de usuarios que se </w:t>
      </w:r>
      <w:proofErr w:type="spellStart"/>
      <w:r>
        <w:t>pre-registraron</w:t>
      </w:r>
      <w:proofErr w:type="spellEnd"/>
      <w:r>
        <w:t xml:space="preserve"> en la plataforma, obteniendo un total de 385 usuarios registrados de los cuales el 97% (375 usuarios) realizaron la verificación biométrica y de estos usuarios verificados biométricamente, el 98% (368 usuarios) optaron por obtener su identidad digital con NFT. </w:t>
      </w:r>
    </w:p>
    <w:p w14:paraId="08F6C183" w14:textId="77777777" w:rsidR="002777E4" w:rsidRDefault="002777E4" w:rsidP="002777E4">
      <w:pPr>
        <w:spacing w:line="360" w:lineRule="auto"/>
        <w:jc w:val="both"/>
      </w:pPr>
      <w:r>
        <w:t xml:space="preserve">Debido al alto porcentaje de usuarios verificados biométricamente y que optaron por tener una identidad digital con NFT demuestra el alto interés de los usuarios por tener sus cuentas verificadas dentro de una plataforma </w:t>
      </w:r>
      <w:proofErr w:type="spellStart"/>
      <w:r>
        <w:t>fintech</w:t>
      </w:r>
      <w:proofErr w:type="spellEnd"/>
      <w:r>
        <w:t xml:space="preserve"> y a su vez por tener sus propias identidades digitales dentro del mundo de la </w:t>
      </w:r>
      <w:proofErr w:type="spellStart"/>
      <w:r>
        <w:t>blockchain</w:t>
      </w:r>
      <w:proofErr w:type="spellEnd"/>
      <w:r>
        <w:t xml:space="preserve">. </w:t>
      </w:r>
    </w:p>
    <w:p w14:paraId="7D6A85B2" w14:textId="77777777" w:rsidR="002777E4" w:rsidRDefault="002777E4" w:rsidP="002777E4">
      <w:pPr>
        <w:keepNext/>
        <w:spacing w:line="360" w:lineRule="auto"/>
        <w:jc w:val="center"/>
      </w:pPr>
      <w:r>
        <w:rPr>
          <w:noProof/>
        </w:rPr>
        <w:lastRenderedPageBreak/>
        <w:drawing>
          <wp:inline distT="0" distB="0" distL="0" distR="0" wp14:anchorId="76AF287D" wp14:editId="38B14BEE">
            <wp:extent cx="5323668" cy="2286000"/>
            <wp:effectExtent l="0" t="0" r="0" b="0"/>
            <wp:docPr id="68" name="Gráfico 68">
              <a:extLst xmlns:a="http://schemas.openxmlformats.org/drawingml/2006/main">
                <a:ext uri="{FF2B5EF4-FFF2-40B4-BE49-F238E27FC236}">
                  <a16:creationId xmlns:a16="http://schemas.microsoft.com/office/drawing/2014/main" id="{FAA7875A-7496-42E6-965E-545B150004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97E5F6" w14:textId="77777777" w:rsidR="002777E4" w:rsidRDefault="002777E4" w:rsidP="002777E4">
      <w:pPr>
        <w:pStyle w:val="Descripcin"/>
        <w:jc w:val="center"/>
      </w:pPr>
      <w:bookmarkStart w:id="5" w:name="_Toc101281583"/>
      <w:r>
        <w:t xml:space="preserve">Figura </w:t>
      </w:r>
      <w:r>
        <w:fldChar w:fldCharType="begin"/>
      </w:r>
      <w:r>
        <w:instrText xml:space="preserve"> SEQ Figura \* ARABIC </w:instrText>
      </w:r>
      <w:r>
        <w:fldChar w:fldCharType="separate"/>
      </w:r>
      <w:r>
        <w:rPr>
          <w:noProof/>
        </w:rPr>
        <w:t>56</w:t>
      </w:r>
      <w:r>
        <w:rPr>
          <w:noProof/>
        </w:rPr>
        <w:fldChar w:fldCharType="end"/>
      </w:r>
      <w:r>
        <w:t>: Usuarios registrados, verificados y con NFT en los meses de enero, febrero y marzo del 2022</w:t>
      </w:r>
      <w:bookmarkEnd w:id="5"/>
    </w:p>
    <w:p w14:paraId="305E0894" w14:textId="77777777" w:rsidR="002777E4"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227BD322" w14:textId="77777777" w:rsidR="002777E4" w:rsidRDefault="002777E4" w:rsidP="002777E4">
      <w:pPr>
        <w:pStyle w:val="Sinespaciado"/>
        <w:numPr>
          <w:ilvl w:val="2"/>
          <w:numId w:val="41"/>
        </w:numPr>
        <w:spacing w:line="360" w:lineRule="auto"/>
      </w:pPr>
      <w:bookmarkStart w:id="6" w:name="_Toc101281504"/>
      <w:r>
        <w:t xml:space="preserve">Transacciones hacia IOTA y </w:t>
      </w:r>
      <w:proofErr w:type="spellStart"/>
      <w:r>
        <w:t>smart</w:t>
      </w:r>
      <w:proofErr w:type="spellEnd"/>
      <w:r>
        <w:t xml:space="preserve"> </w:t>
      </w:r>
      <w:proofErr w:type="spellStart"/>
      <w:r>
        <w:t>contracts</w:t>
      </w:r>
      <w:proofErr w:type="spellEnd"/>
      <w:r>
        <w:t xml:space="preserve"> ejecutados.</w:t>
      </w:r>
      <w:bookmarkEnd w:id="6"/>
    </w:p>
    <w:p w14:paraId="035F9021" w14:textId="77777777" w:rsidR="002777E4" w:rsidRDefault="002777E4" w:rsidP="002777E4">
      <w:pPr>
        <w:spacing w:line="360" w:lineRule="auto"/>
        <w:jc w:val="both"/>
      </w:pPr>
      <w:r>
        <w:t xml:space="preserve">La muestra utilizada en esta investigación fue de un total de 255 transacciones entre los meses de enero, febrero y marzo del 2022, donde se reportaron un  100% de efectividad en la ejecución de los </w:t>
      </w:r>
      <w:proofErr w:type="spellStart"/>
      <w:r>
        <w:t>endpoints</w:t>
      </w:r>
      <w:proofErr w:type="spellEnd"/>
      <w:r>
        <w:t xml:space="preserve"> para el almacenamiento de las transacciones hacia IOTA, en la figura 57 se ilustra los resultados de la ejecución de los contratos inteligentes donde se detectó un 92% de efectividad en la ejecución de los </w:t>
      </w:r>
      <w:proofErr w:type="spellStart"/>
      <w:r>
        <w:t>smart</w:t>
      </w:r>
      <w:proofErr w:type="spellEnd"/>
      <w:r>
        <w:t xml:space="preserve"> </w:t>
      </w:r>
      <w:proofErr w:type="spellStart"/>
      <w:r>
        <w:t>contracts</w:t>
      </w:r>
      <w:proofErr w:type="spellEnd"/>
      <w:r>
        <w:t>, otros 3% de transacciones no se realizaron por detección de pago fraudulento por parte de los clientes, un 4% debido a que el comercio no cumplió con su parte del acuerdo y el 1% restante se debió a que el comercio posee saldo insuficiente en su billetera de criptomoneda Ethereum.</w:t>
      </w:r>
    </w:p>
    <w:p w14:paraId="0428EE20" w14:textId="77777777" w:rsidR="002777E4" w:rsidRDefault="002777E4" w:rsidP="002777E4">
      <w:pPr>
        <w:keepNext/>
        <w:spacing w:line="360" w:lineRule="auto"/>
        <w:jc w:val="both"/>
      </w:pPr>
      <w:r>
        <w:rPr>
          <w:noProof/>
        </w:rPr>
        <w:drawing>
          <wp:inline distT="0" distB="0" distL="0" distR="0" wp14:anchorId="04BAC181" wp14:editId="0B9E35C0">
            <wp:extent cx="5563870" cy="2417198"/>
            <wp:effectExtent l="0" t="0" r="0" b="0"/>
            <wp:docPr id="70" name="Gráfico 70">
              <a:extLst xmlns:a="http://schemas.openxmlformats.org/drawingml/2006/main">
                <a:ext uri="{FF2B5EF4-FFF2-40B4-BE49-F238E27FC236}">
                  <a16:creationId xmlns:a16="http://schemas.microsoft.com/office/drawing/2014/main" id="{56052509-3DAB-471B-A936-E73E66E08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143F494" w14:textId="77777777" w:rsidR="002777E4" w:rsidRDefault="002777E4" w:rsidP="002777E4">
      <w:pPr>
        <w:pStyle w:val="Descripcin"/>
        <w:jc w:val="center"/>
      </w:pPr>
      <w:bookmarkStart w:id="7" w:name="_Toc101281584"/>
      <w:r>
        <w:t xml:space="preserve">Figura </w:t>
      </w:r>
      <w:r>
        <w:fldChar w:fldCharType="begin"/>
      </w:r>
      <w:r>
        <w:instrText xml:space="preserve"> SEQ Figura \* ARABIC </w:instrText>
      </w:r>
      <w:r>
        <w:fldChar w:fldCharType="separate"/>
      </w:r>
      <w:r>
        <w:rPr>
          <w:noProof/>
        </w:rPr>
        <w:t>57</w:t>
      </w:r>
      <w:r>
        <w:rPr>
          <w:noProof/>
        </w:rPr>
        <w:fldChar w:fldCharType="end"/>
      </w:r>
      <w:r>
        <w:t xml:space="preserve">: </w:t>
      </w:r>
      <w:r w:rsidRPr="000E5C82">
        <w:t xml:space="preserve">Transacciones hacia IOTA y </w:t>
      </w:r>
      <w:proofErr w:type="spellStart"/>
      <w:r w:rsidRPr="000E5C82">
        <w:t>smart</w:t>
      </w:r>
      <w:proofErr w:type="spellEnd"/>
      <w:r w:rsidRPr="000E5C82">
        <w:t xml:space="preserve"> </w:t>
      </w:r>
      <w:proofErr w:type="spellStart"/>
      <w:r w:rsidRPr="000E5C82">
        <w:t>contracts</w:t>
      </w:r>
      <w:proofErr w:type="spellEnd"/>
      <w:r w:rsidRPr="000E5C82">
        <w:t xml:space="preserve"> ejecutados</w:t>
      </w:r>
      <w:bookmarkEnd w:id="7"/>
    </w:p>
    <w:p w14:paraId="170A9906" w14:textId="77777777" w:rsidR="002777E4" w:rsidRPr="00545DC4"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0C9D4B0F" w14:textId="77777777" w:rsidR="002777E4" w:rsidRDefault="002777E4" w:rsidP="002777E4">
      <w:pPr>
        <w:pStyle w:val="Sinespaciado"/>
        <w:numPr>
          <w:ilvl w:val="2"/>
          <w:numId w:val="41"/>
        </w:numPr>
        <w:spacing w:line="360" w:lineRule="auto"/>
      </w:pPr>
      <w:bookmarkStart w:id="8" w:name="_Toc101281505"/>
      <w:r>
        <w:lastRenderedPageBreak/>
        <w:t>Seguridad del envío de datos desde aplicaciones clientes.</w:t>
      </w:r>
      <w:bookmarkEnd w:id="8"/>
    </w:p>
    <w:p w14:paraId="095523B1" w14:textId="77777777" w:rsidR="002777E4" w:rsidRPr="00545DC4" w:rsidRDefault="002777E4" w:rsidP="002777E4">
      <w:pPr>
        <w:spacing w:line="360" w:lineRule="auto"/>
        <w:jc w:val="both"/>
        <w:rPr>
          <w:rFonts w:eastAsia="Abel" w:cs="Times New Roman"/>
        </w:rPr>
      </w:pPr>
      <w:r>
        <w:t xml:space="preserve">La seguridad de los datos se encuentra garantizados dentro del </w:t>
      </w:r>
      <w:proofErr w:type="spellStart"/>
      <w:r>
        <w:t>Tangle</w:t>
      </w:r>
      <w:proofErr w:type="spellEnd"/>
      <w:r>
        <w:t xml:space="preserve"> o </w:t>
      </w:r>
      <w:proofErr w:type="spellStart"/>
      <w:r>
        <w:t>Blockchain</w:t>
      </w:r>
      <w:proofErr w:type="spellEnd"/>
      <w:r>
        <w:t xml:space="preserve"> debido al uso de sus protocolos de consenso</w:t>
      </w:r>
      <w:r>
        <w:rPr>
          <w:rFonts w:eastAsia="Abel" w:cs="Times New Roman"/>
        </w:rPr>
        <w:t xml:space="preserve"> y a los diferentes algoritmos de encriptación que utilizan cada uno de ellos, pero ningún DLT garantiza la seguridad de los datos enviadas desde las aplicaciones clientes hacia los DLT por tal motivo es importante realizar un correcto análisis del tráfico de la red para prevenir ataques del tipo hombre en el medio y así evitar la escucha y desciframiento de los datos enviados para su posterior almacenamiento en los DLT. Para testear la seguridad del envío de datos desde aplicaciones clientes, se utilizó una de las funcionalidades ofrecidas por la plataforma Pay2Meta llamada links de billetera, en la figura 58 se ilustra el pago exitoso de cinco dólares realizados con una tarjeta de crédito VISA en uno de los links de billeteras de Pay2Meta.</w:t>
      </w:r>
    </w:p>
    <w:p w14:paraId="2246FB58" w14:textId="77777777" w:rsidR="002777E4" w:rsidRDefault="002777E4" w:rsidP="002777E4">
      <w:pPr>
        <w:keepNext/>
        <w:spacing w:line="360" w:lineRule="auto"/>
        <w:jc w:val="both"/>
      </w:pPr>
      <w:r>
        <w:rPr>
          <w:noProof/>
        </w:rPr>
        <w:drawing>
          <wp:inline distT="0" distB="0" distL="0" distR="0" wp14:anchorId="4F80CFF4" wp14:editId="1BB6AF3D">
            <wp:extent cx="5400040" cy="2618105"/>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8105"/>
                    </a:xfrm>
                    <a:prstGeom prst="rect">
                      <a:avLst/>
                    </a:prstGeom>
                  </pic:spPr>
                </pic:pic>
              </a:graphicData>
            </a:graphic>
          </wp:inline>
        </w:drawing>
      </w:r>
    </w:p>
    <w:p w14:paraId="182521BC" w14:textId="77777777" w:rsidR="002777E4" w:rsidRDefault="002777E4" w:rsidP="002777E4">
      <w:pPr>
        <w:pStyle w:val="Descripcin"/>
        <w:jc w:val="center"/>
      </w:pPr>
      <w:bookmarkStart w:id="9" w:name="_Toc101281585"/>
      <w:r>
        <w:t xml:space="preserve">Figura </w:t>
      </w:r>
      <w:r>
        <w:fldChar w:fldCharType="begin"/>
      </w:r>
      <w:r>
        <w:instrText xml:space="preserve"> SEQ Figura \* ARABIC </w:instrText>
      </w:r>
      <w:r>
        <w:fldChar w:fldCharType="separate"/>
      </w:r>
      <w:r>
        <w:rPr>
          <w:noProof/>
        </w:rPr>
        <w:t>58</w:t>
      </w:r>
      <w:r>
        <w:rPr>
          <w:noProof/>
        </w:rPr>
        <w:fldChar w:fldCharType="end"/>
      </w:r>
      <w:r>
        <w:t>: Confirmación de pago con tarjeta de crédito Visa</w:t>
      </w:r>
      <w:bookmarkEnd w:id="9"/>
    </w:p>
    <w:p w14:paraId="638BD6B4" w14:textId="77777777" w:rsidR="002777E4"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06B89415" w14:textId="77777777" w:rsidR="002777E4" w:rsidRPr="008526B8" w:rsidRDefault="002777E4" w:rsidP="002777E4">
      <w:pPr>
        <w:spacing w:line="360" w:lineRule="auto"/>
        <w:jc w:val="both"/>
      </w:pPr>
      <w:r>
        <w:t>Los datos enviados a través del formulario de pago fueron encriptados con RSA, en la figura 59 se ilustra los datos obtenidos al momento de realizar la petición Post, en este caso los datos de la tarjeta con la que se realizó el pago y los datos personales del cliente, ambos parámetros fueron encriptados con RSA.</w:t>
      </w:r>
    </w:p>
    <w:p w14:paraId="72159130" w14:textId="77777777" w:rsidR="002777E4" w:rsidRDefault="002777E4" w:rsidP="002777E4">
      <w:pPr>
        <w:keepNext/>
        <w:spacing w:line="360" w:lineRule="auto"/>
        <w:jc w:val="both"/>
      </w:pPr>
      <w:r>
        <w:rPr>
          <w:noProof/>
        </w:rPr>
        <w:lastRenderedPageBreak/>
        <w:drawing>
          <wp:inline distT="0" distB="0" distL="0" distR="0" wp14:anchorId="4A6D8AB4" wp14:editId="676F0988">
            <wp:extent cx="5400040" cy="269494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94940"/>
                    </a:xfrm>
                    <a:prstGeom prst="rect">
                      <a:avLst/>
                    </a:prstGeom>
                  </pic:spPr>
                </pic:pic>
              </a:graphicData>
            </a:graphic>
          </wp:inline>
        </w:drawing>
      </w:r>
    </w:p>
    <w:p w14:paraId="406FDB0B" w14:textId="77777777" w:rsidR="002777E4" w:rsidRDefault="002777E4" w:rsidP="002777E4">
      <w:pPr>
        <w:pStyle w:val="Descripcin"/>
        <w:jc w:val="center"/>
      </w:pPr>
      <w:bookmarkStart w:id="10" w:name="_Toc101281586"/>
      <w:r>
        <w:t xml:space="preserve">Figura </w:t>
      </w:r>
      <w:r>
        <w:fldChar w:fldCharType="begin"/>
      </w:r>
      <w:r>
        <w:instrText xml:space="preserve"> SEQ Figura \* ARABIC </w:instrText>
      </w:r>
      <w:r>
        <w:fldChar w:fldCharType="separate"/>
      </w:r>
      <w:r>
        <w:rPr>
          <w:noProof/>
        </w:rPr>
        <w:t>59</w:t>
      </w:r>
      <w:r>
        <w:rPr>
          <w:noProof/>
        </w:rPr>
        <w:fldChar w:fldCharType="end"/>
      </w:r>
      <w:r>
        <w:t>: Encriptación RSA en los pagos realizados con tarjetas de crédito</w:t>
      </w:r>
      <w:bookmarkEnd w:id="10"/>
    </w:p>
    <w:p w14:paraId="1E331189" w14:textId="77777777" w:rsidR="002777E4"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283474C3" w14:textId="77777777" w:rsidR="002777E4" w:rsidRDefault="002777E4" w:rsidP="002777E4">
      <w:pPr>
        <w:spacing w:line="360" w:lineRule="auto"/>
        <w:jc w:val="both"/>
      </w:pPr>
      <w:r>
        <w:t xml:space="preserve">Esta encriptación se la validó utilizando la herramienta </w:t>
      </w:r>
      <w:proofErr w:type="spellStart"/>
      <w:r>
        <w:t>wireshark</w:t>
      </w:r>
      <w:proofErr w:type="spellEnd"/>
      <w:r>
        <w:t>, en la figura 60 se ilustra el tráfico http de tipo post donde se visualiza que los datos enviados están encriptados.</w:t>
      </w:r>
    </w:p>
    <w:p w14:paraId="7F7014F5" w14:textId="77777777" w:rsidR="002777E4" w:rsidRDefault="002777E4" w:rsidP="002777E4">
      <w:pPr>
        <w:keepNext/>
        <w:spacing w:line="360" w:lineRule="auto"/>
        <w:jc w:val="both"/>
      </w:pPr>
      <w:r>
        <w:rPr>
          <w:noProof/>
        </w:rPr>
        <w:drawing>
          <wp:inline distT="0" distB="0" distL="0" distR="0" wp14:anchorId="29CDA70F" wp14:editId="518EBF91">
            <wp:extent cx="5400040" cy="3902710"/>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902710"/>
                    </a:xfrm>
                    <a:prstGeom prst="rect">
                      <a:avLst/>
                    </a:prstGeom>
                  </pic:spPr>
                </pic:pic>
              </a:graphicData>
            </a:graphic>
          </wp:inline>
        </w:drawing>
      </w:r>
    </w:p>
    <w:p w14:paraId="09E0FD15" w14:textId="77777777" w:rsidR="002777E4" w:rsidRDefault="002777E4" w:rsidP="002777E4">
      <w:pPr>
        <w:pStyle w:val="Descripcin"/>
        <w:jc w:val="center"/>
      </w:pPr>
      <w:bookmarkStart w:id="11" w:name="_Toc101281587"/>
      <w:r>
        <w:t xml:space="preserve">Figura </w:t>
      </w:r>
      <w:r>
        <w:fldChar w:fldCharType="begin"/>
      </w:r>
      <w:r>
        <w:instrText xml:space="preserve"> SEQ Figura \* ARABIC </w:instrText>
      </w:r>
      <w:r>
        <w:fldChar w:fldCharType="separate"/>
      </w:r>
      <w:r>
        <w:rPr>
          <w:noProof/>
        </w:rPr>
        <w:t>60</w:t>
      </w:r>
      <w:r>
        <w:rPr>
          <w:noProof/>
        </w:rPr>
        <w:fldChar w:fldCharType="end"/>
      </w:r>
      <w:r>
        <w:t xml:space="preserve">: Tráfico de red en </w:t>
      </w:r>
      <w:proofErr w:type="spellStart"/>
      <w:r>
        <w:t>wireshark</w:t>
      </w:r>
      <w:bookmarkEnd w:id="11"/>
      <w:proofErr w:type="spellEnd"/>
    </w:p>
    <w:p w14:paraId="1759CEB2" w14:textId="77777777" w:rsidR="002777E4" w:rsidRPr="00E467D8"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6B5B41C0" w14:textId="77777777" w:rsidR="002777E4" w:rsidRDefault="002777E4" w:rsidP="002777E4">
      <w:pPr>
        <w:pStyle w:val="Sinespaciado"/>
        <w:numPr>
          <w:ilvl w:val="2"/>
          <w:numId w:val="41"/>
        </w:numPr>
        <w:spacing w:line="360" w:lineRule="auto"/>
      </w:pPr>
      <w:bookmarkStart w:id="12" w:name="_Toc101281506"/>
      <w:r>
        <w:lastRenderedPageBreak/>
        <w:t>Resultado de encuestas aplicadas.</w:t>
      </w:r>
      <w:bookmarkEnd w:id="12"/>
    </w:p>
    <w:p w14:paraId="26F660B5" w14:textId="77777777" w:rsidR="002777E4" w:rsidRDefault="002777E4" w:rsidP="002777E4">
      <w:pPr>
        <w:spacing w:line="360" w:lineRule="auto"/>
        <w:jc w:val="both"/>
      </w:pPr>
      <w:r>
        <w:t xml:space="preserve">Las encuestas fueron aplicadas a los usuarios que realizaron compras en los </w:t>
      </w:r>
      <w:proofErr w:type="spellStart"/>
      <w:r>
        <w:t>marketplaces</w:t>
      </w:r>
      <w:proofErr w:type="spellEnd"/>
      <w:r>
        <w:t xml:space="preserve"> de productos y criptomonedas ofrecidas por Pay2Meta para conocer la satisfacción del producto recibido por parte de los comerciantes y en base a estos resultados determinar potenciales estafadores a futuro. </w:t>
      </w:r>
    </w:p>
    <w:p w14:paraId="54E8C044" w14:textId="77777777" w:rsidR="002777E4" w:rsidRDefault="002777E4" w:rsidP="002777E4">
      <w:pPr>
        <w:spacing w:line="360" w:lineRule="auto"/>
        <w:jc w:val="both"/>
      </w:pPr>
      <w:r>
        <w:t>El total de encuestados fueron 85 usuarios seleccionados a partir de las 255 transacciones que se tomaron como muestra. El resultado de cada pregunta se presenta a continuación.</w:t>
      </w:r>
    </w:p>
    <w:p w14:paraId="0024D99B" w14:textId="77777777" w:rsidR="002777E4" w:rsidRDefault="002777E4" w:rsidP="002777E4">
      <w:pPr>
        <w:spacing w:line="360" w:lineRule="auto"/>
        <w:jc w:val="center"/>
        <w:rPr>
          <w:b/>
          <w:bCs/>
        </w:rPr>
      </w:pPr>
      <w:r>
        <w:rPr>
          <w:b/>
          <w:bCs/>
        </w:rPr>
        <w:t>Pregunta #1</w:t>
      </w:r>
    </w:p>
    <w:p w14:paraId="20BCCE2D" w14:textId="77777777" w:rsidR="002777E4" w:rsidRPr="00670D20" w:rsidRDefault="002777E4" w:rsidP="002777E4">
      <w:pPr>
        <w:spacing w:line="360" w:lineRule="auto"/>
        <w:jc w:val="both"/>
      </w:pPr>
      <w:r>
        <w:t xml:space="preserve">El resultado de esta encuesta ayudará a la aplicación de Pay2Meta a establecer límites máximos de entrega de los productos por parte de los comercios y su vez, los </w:t>
      </w:r>
      <w:proofErr w:type="spellStart"/>
      <w:r>
        <w:t>smart</w:t>
      </w:r>
      <w:proofErr w:type="spellEnd"/>
      <w:r>
        <w:t xml:space="preserve"> </w:t>
      </w:r>
      <w:proofErr w:type="spellStart"/>
      <w:r>
        <w:t>contracts</w:t>
      </w:r>
      <w:proofErr w:type="spellEnd"/>
      <w:r>
        <w:t xml:space="preserve"> también tengan un tiempo máximo para ejecutarse. En la figura 61 se ilustra el resultado de la encuesta aplicada para la pregunta #1 que estuvo enfocada al tiempo de entrega del producto o servicio, dando un resultado favorable del 48% de usuarios que quedarán satisfechos y un 32% muy satisfechos.</w:t>
      </w:r>
    </w:p>
    <w:p w14:paraId="063E570A" w14:textId="77777777" w:rsidR="002777E4" w:rsidRDefault="002777E4" w:rsidP="002777E4">
      <w:pPr>
        <w:keepNext/>
        <w:spacing w:line="360" w:lineRule="auto"/>
        <w:jc w:val="center"/>
      </w:pPr>
      <w:r>
        <w:rPr>
          <w:noProof/>
        </w:rPr>
        <w:drawing>
          <wp:inline distT="0" distB="0" distL="0" distR="0" wp14:anchorId="6C5804B3" wp14:editId="07B93DDE">
            <wp:extent cx="5354665" cy="3370881"/>
            <wp:effectExtent l="0" t="0" r="0" b="0"/>
            <wp:docPr id="73" name="Gráfico 73">
              <a:extLst xmlns:a="http://schemas.openxmlformats.org/drawingml/2006/main">
                <a:ext uri="{FF2B5EF4-FFF2-40B4-BE49-F238E27FC236}">
                  <a16:creationId xmlns:a16="http://schemas.microsoft.com/office/drawing/2014/main" id="{D76946F5-6B8A-47DD-B3D4-C00C3DE093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9DCF76" w14:textId="77777777" w:rsidR="002777E4" w:rsidRDefault="002777E4" w:rsidP="002777E4">
      <w:pPr>
        <w:pStyle w:val="Descripcin"/>
        <w:jc w:val="center"/>
        <w:rPr>
          <w:b/>
          <w:bCs/>
        </w:rPr>
      </w:pPr>
      <w:bookmarkStart w:id="13" w:name="_Toc101281588"/>
      <w:r>
        <w:t xml:space="preserve">Figura </w:t>
      </w:r>
      <w:r>
        <w:fldChar w:fldCharType="begin"/>
      </w:r>
      <w:r>
        <w:instrText xml:space="preserve"> SEQ Figura \* ARABIC </w:instrText>
      </w:r>
      <w:r>
        <w:fldChar w:fldCharType="separate"/>
      </w:r>
      <w:r>
        <w:rPr>
          <w:noProof/>
        </w:rPr>
        <w:t>61</w:t>
      </w:r>
      <w:r>
        <w:rPr>
          <w:noProof/>
        </w:rPr>
        <w:fldChar w:fldCharType="end"/>
      </w:r>
      <w:r>
        <w:t>: Resultado de la encuesta del t</w:t>
      </w:r>
      <w:r w:rsidRPr="00144ED4">
        <w:t>iempo de entrega del producto o servicio</w:t>
      </w:r>
      <w:bookmarkEnd w:id="13"/>
    </w:p>
    <w:p w14:paraId="612C9784" w14:textId="77777777" w:rsidR="002777E4" w:rsidRPr="00E467D8"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06BD7EE5" w14:textId="77777777" w:rsidR="002777E4" w:rsidRDefault="002777E4" w:rsidP="002777E4">
      <w:pPr>
        <w:spacing w:line="360" w:lineRule="auto"/>
        <w:jc w:val="center"/>
        <w:rPr>
          <w:b/>
          <w:bCs/>
        </w:rPr>
      </w:pPr>
    </w:p>
    <w:p w14:paraId="2EB9C5CC" w14:textId="77777777" w:rsidR="002777E4" w:rsidRDefault="002777E4" w:rsidP="002777E4">
      <w:pPr>
        <w:spacing w:line="360" w:lineRule="auto"/>
        <w:jc w:val="center"/>
        <w:rPr>
          <w:b/>
          <w:bCs/>
        </w:rPr>
      </w:pPr>
      <w:r>
        <w:rPr>
          <w:b/>
          <w:bCs/>
        </w:rPr>
        <w:t>Pregunta #2</w:t>
      </w:r>
    </w:p>
    <w:p w14:paraId="27E5FC33" w14:textId="77777777" w:rsidR="002777E4" w:rsidRPr="00670D20" w:rsidRDefault="002777E4" w:rsidP="002777E4">
      <w:pPr>
        <w:spacing w:line="360" w:lineRule="auto"/>
        <w:jc w:val="both"/>
      </w:pPr>
      <w:r>
        <w:lastRenderedPageBreak/>
        <w:t xml:space="preserve">El resultado de esta encuesta ayudará con el aspecto de usabilidad de la aplicación de Pay2Meta al momento de realizar una compra o venta dentro de los </w:t>
      </w:r>
      <w:proofErr w:type="spellStart"/>
      <w:r>
        <w:t>marketplaces</w:t>
      </w:r>
      <w:proofErr w:type="spellEnd"/>
      <w:r>
        <w:t>. En la figura 62 se ilustra el resultado de la encuesta aplicada para la pregunta #2 que estuvo enfocada a la experiencia de compra o venta, dando un resultado favorable del 55% de usuarios que quedarán muy satisfechos y un 34% satisfechos.</w:t>
      </w:r>
    </w:p>
    <w:p w14:paraId="3D09093E" w14:textId="77777777" w:rsidR="002777E4" w:rsidRDefault="002777E4" w:rsidP="002777E4">
      <w:pPr>
        <w:keepNext/>
        <w:spacing w:line="360" w:lineRule="auto"/>
        <w:jc w:val="center"/>
      </w:pPr>
      <w:r>
        <w:rPr>
          <w:noProof/>
        </w:rPr>
        <w:drawing>
          <wp:inline distT="0" distB="0" distL="0" distR="0" wp14:anchorId="6887246B" wp14:editId="238D149C">
            <wp:extent cx="5215180" cy="3905573"/>
            <wp:effectExtent l="0" t="0" r="0" b="0"/>
            <wp:docPr id="75" name="Gráfico 75">
              <a:extLst xmlns:a="http://schemas.openxmlformats.org/drawingml/2006/main">
                <a:ext uri="{FF2B5EF4-FFF2-40B4-BE49-F238E27FC236}">
                  <a16:creationId xmlns:a16="http://schemas.microsoft.com/office/drawing/2014/main" id="{5B7E0C79-62E0-4C17-AD5D-D5FE55738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B46BC3" w14:textId="77777777" w:rsidR="002777E4" w:rsidRDefault="002777E4" w:rsidP="002777E4">
      <w:pPr>
        <w:pStyle w:val="Descripcin"/>
        <w:jc w:val="center"/>
        <w:rPr>
          <w:b/>
          <w:bCs/>
        </w:rPr>
      </w:pPr>
      <w:bookmarkStart w:id="14" w:name="_Toc101281589"/>
      <w:r>
        <w:t xml:space="preserve">Figura </w:t>
      </w:r>
      <w:r>
        <w:fldChar w:fldCharType="begin"/>
      </w:r>
      <w:r>
        <w:instrText xml:space="preserve"> SEQ Figura \* ARABIC </w:instrText>
      </w:r>
      <w:r>
        <w:fldChar w:fldCharType="separate"/>
      </w:r>
      <w:r>
        <w:rPr>
          <w:noProof/>
        </w:rPr>
        <w:t>62</w:t>
      </w:r>
      <w:r>
        <w:rPr>
          <w:noProof/>
        </w:rPr>
        <w:fldChar w:fldCharType="end"/>
      </w:r>
      <w:r>
        <w:t>: Resultado de la encuesta de experiencia de compra/venta</w:t>
      </w:r>
      <w:bookmarkEnd w:id="14"/>
    </w:p>
    <w:p w14:paraId="0A96E252" w14:textId="77777777" w:rsidR="002777E4" w:rsidRPr="001F7960"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59752C65" w14:textId="77777777" w:rsidR="002777E4" w:rsidRDefault="002777E4" w:rsidP="002777E4">
      <w:pPr>
        <w:spacing w:line="360" w:lineRule="auto"/>
        <w:jc w:val="center"/>
        <w:rPr>
          <w:b/>
          <w:bCs/>
        </w:rPr>
      </w:pPr>
      <w:r>
        <w:rPr>
          <w:b/>
          <w:bCs/>
        </w:rPr>
        <w:t>Pregunta #3</w:t>
      </w:r>
    </w:p>
    <w:p w14:paraId="7F34F8E7" w14:textId="77777777" w:rsidR="002777E4" w:rsidRPr="00670D20" w:rsidRDefault="002777E4" w:rsidP="002777E4">
      <w:pPr>
        <w:spacing w:line="360" w:lineRule="auto"/>
        <w:jc w:val="both"/>
      </w:pPr>
      <w:r>
        <w:t xml:space="preserve">El resultado de esta encuesta ayudará con el aspecto de estafas de la aplicación de Pay2Meta al momento de realizar una compra o venta dentro de los </w:t>
      </w:r>
      <w:proofErr w:type="spellStart"/>
      <w:r>
        <w:t>marketplaces</w:t>
      </w:r>
      <w:proofErr w:type="spellEnd"/>
      <w:r>
        <w:t>. En la figura 63 se ilustra el resultado de la encuesta aplicada para la pregunta #3 que estuvo enfocada a la calidad del producto entregado, dando un resultado favorable del 40% de usuarios que quedarán satisfechos, pero no tan favorables con el 19% de usuarios que no quedaron muy satisfechos.</w:t>
      </w:r>
    </w:p>
    <w:p w14:paraId="2E3DAA6F" w14:textId="77777777" w:rsidR="002777E4" w:rsidRDefault="002777E4" w:rsidP="002777E4">
      <w:pPr>
        <w:spacing w:line="360" w:lineRule="auto"/>
        <w:jc w:val="both"/>
        <w:rPr>
          <w:b/>
          <w:bCs/>
        </w:rPr>
      </w:pPr>
    </w:p>
    <w:p w14:paraId="0EC02930" w14:textId="77777777" w:rsidR="002777E4" w:rsidRDefault="002777E4" w:rsidP="002777E4">
      <w:pPr>
        <w:keepNext/>
        <w:jc w:val="center"/>
      </w:pPr>
      <w:r>
        <w:rPr>
          <w:noProof/>
        </w:rPr>
        <w:lastRenderedPageBreak/>
        <w:drawing>
          <wp:inline distT="0" distB="0" distL="0" distR="0" wp14:anchorId="765C622F" wp14:editId="512FAA25">
            <wp:extent cx="5084618" cy="2944091"/>
            <wp:effectExtent l="0" t="0" r="0" b="0"/>
            <wp:docPr id="76" name="Gráfico 76">
              <a:extLst xmlns:a="http://schemas.openxmlformats.org/drawingml/2006/main">
                <a:ext uri="{FF2B5EF4-FFF2-40B4-BE49-F238E27FC236}">
                  <a16:creationId xmlns:a16="http://schemas.microsoft.com/office/drawing/2014/main" id="{F8FDED2A-073A-4D24-B526-20EE07A401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CF8C723" w14:textId="77777777" w:rsidR="002777E4" w:rsidRDefault="002777E4" w:rsidP="002777E4">
      <w:pPr>
        <w:pStyle w:val="Descripcin"/>
        <w:jc w:val="center"/>
      </w:pPr>
      <w:bookmarkStart w:id="15" w:name="_Toc101281590"/>
      <w:r>
        <w:t xml:space="preserve">Figura </w:t>
      </w:r>
      <w:r>
        <w:fldChar w:fldCharType="begin"/>
      </w:r>
      <w:r>
        <w:instrText xml:space="preserve"> SEQ Figura \* ARABIC </w:instrText>
      </w:r>
      <w:r>
        <w:fldChar w:fldCharType="separate"/>
      </w:r>
      <w:r>
        <w:rPr>
          <w:noProof/>
        </w:rPr>
        <w:t>63</w:t>
      </w:r>
      <w:r>
        <w:rPr>
          <w:noProof/>
        </w:rPr>
        <w:fldChar w:fldCharType="end"/>
      </w:r>
      <w:r>
        <w:t>: Resultado de encuesta de la calidad del producto ofrecido</w:t>
      </w:r>
      <w:bookmarkEnd w:id="15"/>
    </w:p>
    <w:p w14:paraId="6EFC8C76" w14:textId="77777777" w:rsidR="002777E4" w:rsidRPr="00E467D8"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69A589B8" w14:textId="77777777" w:rsidR="002777E4" w:rsidRDefault="002777E4" w:rsidP="002777E4">
      <w:pPr>
        <w:pStyle w:val="Sinespaciado"/>
        <w:numPr>
          <w:ilvl w:val="2"/>
          <w:numId w:val="41"/>
        </w:numPr>
        <w:spacing w:line="360" w:lineRule="auto"/>
      </w:pPr>
      <w:bookmarkStart w:id="16" w:name="_Toc101281507"/>
      <w:r>
        <w:t>Tiempo de aprobación de recargas de billetera con TDC.</w:t>
      </w:r>
      <w:bookmarkEnd w:id="16"/>
    </w:p>
    <w:p w14:paraId="0EA1459E" w14:textId="77777777" w:rsidR="002777E4" w:rsidRPr="00A01989" w:rsidRDefault="002777E4" w:rsidP="002777E4">
      <w:pPr>
        <w:spacing w:line="360" w:lineRule="auto"/>
        <w:jc w:val="both"/>
      </w:pPr>
      <w:r>
        <w:t>La plataforma Pay2Meta posee una funcionalidad de recargar billetera a través de pagos con tarjetas de créditos (TDC) para que los usuarios posean saldo dentro de la plataforma pero el tiempo de aprobación de estos pagos por parte de Pay2Meta oscilaban entre los dos a tres días, esto es debido a que primeramente la plataforma analiza el pago a través de un sistema antifraude y esperar la confirmación por parte de la entidad bancaria que el pago no es fraudulento pero con la implementación de la verificación biométrica con Mati e identidad digital con NFT en conjunto con las transacciones financieras almacenadas en IOTA, en caso de que se detecte que el pago es fraudulento por parte de la entidad bancaria, la plataforma Pay2Meta puede optar por disputar dicho pago enviando como pruebas los NFT de los usuarios y las transacciones almacenadas en IOTA, por tal motivo el tiempo de aprobación de estos pagos se redujo a cero días (ver tabla 14), estableciéndose una optimización del 100% en el tiempo de aprobar estos pagos debido a que las recargas de billeteras ahora son instantáneas.</w:t>
      </w:r>
    </w:p>
    <w:tbl>
      <w:tblPr>
        <w:tblStyle w:val="Tablaconcuadrcula"/>
        <w:tblW w:w="0" w:type="auto"/>
        <w:tblLook w:val="04A0" w:firstRow="1" w:lastRow="0" w:firstColumn="1" w:lastColumn="0" w:noHBand="0" w:noVBand="1"/>
      </w:tblPr>
      <w:tblGrid>
        <w:gridCol w:w="4247"/>
        <w:gridCol w:w="4247"/>
      </w:tblGrid>
      <w:tr w:rsidR="002777E4" w14:paraId="22AC41F5" w14:textId="77777777" w:rsidTr="00CA3DF5">
        <w:tc>
          <w:tcPr>
            <w:tcW w:w="4322" w:type="dxa"/>
            <w:shd w:val="clear" w:color="auto" w:fill="2E74B5" w:themeFill="accent5" w:themeFillShade="BF"/>
          </w:tcPr>
          <w:p w14:paraId="5BF875D8" w14:textId="77777777" w:rsidR="002777E4" w:rsidRPr="00E30522" w:rsidRDefault="002777E4" w:rsidP="00CA3DF5">
            <w:pPr>
              <w:spacing w:line="360" w:lineRule="auto"/>
              <w:jc w:val="center"/>
              <w:rPr>
                <w:b/>
                <w:bCs/>
                <w:color w:val="FFFFFF" w:themeColor="background1"/>
              </w:rPr>
            </w:pPr>
            <w:r w:rsidRPr="00E30522">
              <w:rPr>
                <w:b/>
                <w:bCs/>
                <w:color w:val="FFFFFF" w:themeColor="background1"/>
              </w:rPr>
              <w:t>Tiempo de aprobación de recargas de billeteras antes de la implementación de los DLT</w:t>
            </w:r>
          </w:p>
        </w:tc>
        <w:tc>
          <w:tcPr>
            <w:tcW w:w="4322" w:type="dxa"/>
            <w:shd w:val="clear" w:color="auto" w:fill="2E74B5" w:themeFill="accent5" w:themeFillShade="BF"/>
          </w:tcPr>
          <w:p w14:paraId="65CDC931" w14:textId="77777777" w:rsidR="002777E4" w:rsidRPr="00E30522" w:rsidRDefault="002777E4" w:rsidP="00CA3DF5">
            <w:pPr>
              <w:spacing w:line="360" w:lineRule="auto"/>
              <w:jc w:val="center"/>
              <w:rPr>
                <w:b/>
                <w:bCs/>
                <w:color w:val="FFFFFF" w:themeColor="background1"/>
              </w:rPr>
            </w:pPr>
            <w:r w:rsidRPr="00E30522">
              <w:rPr>
                <w:b/>
                <w:bCs/>
                <w:color w:val="FFFFFF" w:themeColor="background1"/>
              </w:rPr>
              <w:t>Tiempo de aprobación de recargas de billeteras después de la implementación de los DLT</w:t>
            </w:r>
          </w:p>
        </w:tc>
      </w:tr>
      <w:tr w:rsidR="002777E4" w14:paraId="3969BB6C" w14:textId="77777777" w:rsidTr="00CA3DF5">
        <w:tc>
          <w:tcPr>
            <w:tcW w:w="4322" w:type="dxa"/>
          </w:tcPr>
          <w:p w14:paraId="456B0FB9" w14:textId="77777777" w:rsidR="002777E4" w:rsidRDefault="002777E4" w:rsidP="00CA3DF5">
            <w:pPr>
              <w:spacing w:line="360" w:lineRule="auto"/>
              <w:jc w:val="center"/>
            </w:pPr>
            <w:r>
              <w:t>2 o 3 días</w:t>
            </w:r>
          </w:p>
        </w:tc>
        <w:tc>
          <w:tcPr>
            <w:tcW w:w="4322" w:type="dxa"/>
          </w:tcPr>
          <w:p w14:paraId="3746FD21" w14:textId="77777777" w:rsidR="002777E4" w:rsidRDefault="002777E4" w:rsidP="00CA3DF5">
            <w:pPr>
              <w:keepNext/>
              <w:spacing w:line="360" w:lineRule="auto"/>
              <w:jc w:val="center"/>
            </w:pPr>
            <w:r>
              <w:t>0 días</w:t>
            </w:r>
          </w:p>
        </w:tc>
      </w:tr>
    </w:tbl>
    <w:p w14:paraId="2847EF4F" w14:textId="77777777" w:rsidR="002777E4" w:rsidRDefault="002777E4" w:rsidP="002777E4">
      <w:pPr>
        <w:pStyle w:val="Descripcin"/>
        <w:jc w:val="center"/>
      </w:pPr>
      <w:bookmarkStart w:id="17" w:name="_Toc101281606"/>
      <w:r>
        <w:t xml:space="preserve">Tabla </w:t>
      </w:r>
      <w:r>
        <w:fldChar w:fldCharType="begin"/>
      </w:r>
      <w:r>
        <w:instrText xml:space="preserve"> SEQ Tabla \* ARABIC </w:instrText>
      </w:r>
      <w:r>
        <w:fldChar w:fldCharType="separate"/>
      </w:r>
      <w:r>
        <w:rPr>
          <w:noProof/>
        </w:rPr>
        <w:t>14</w:t>
      </w:r>
      <w:r>
        <w:rPr>
          <w:noProof/>
        </w:rPr>
        <w:fldChar w:fldCharType="end"/>
      </w:r>
      <w:r>
        <w:t xml:space="preserve">: </w:t>
      </w:r>
      <w:r w:rsidRPr="00E933AD">
        <w:t>Tiempo de aprobación de pagos con TDC</w:t>
      </w:r>
      <w:bookmarkEnd w:id="17"/>
    </w:p>
    <w:p w14:paraId="6AB471B4" w14:textId="77777777" w:rsidR="002777E4" w:rsidRPr="00B15C54" w:rsidRDefault="002777E4" w:rsidP="002777E4">
      <w:pPr>
        <w:jc w:val="center"/>
        <w:rPr>
          <w:i/>
          <w:iCs/>
          <w:sz w:val="20"/>
          <w:szCs w:val="20"/>
        </w:rPr>
      </w:pPr>
      <w:r>
        <w:lastRenderedPageBreak/>
        <w:t xml:space="preserve"> </w:t>
      </w:r>
      <w:r w:rsidRPr="006D3D85">
        <w:rPr>
          <w:i/>
          <w:iCs/>
          <w:sz w:val="20"/>
          <w:szCs w:val="20"/>
        </w:rPr>
        <w:t>Fuente:</w:t>
      </w:r>
      <w:r>
        <w:rPr>
          <w:i/>
          <w:iCs/>
          <w:sz w:val="20"/>
          <w:szCs w:val="20"/>
        </w:rPr>
        <w:t xml:space="preserve"> Elaboración propia</w:t>
      </w:r>
    </w:p>
    <w:p w14:paraId="277AF596" w14:textId="77777777" w:rsidR="002777E4" w:rsidRDefault="002777E4" w:rsidP="002777E4">
      <w:pPr>
        <w:pStyle w:val="Sinespaciado"/>
        <w:numPr>
          <w:ilvl w:val="2"/>
          <w:numId w:val="41"/>
        </w:numPr>
        <w:spacing w:line="360" w:lineRule="auto"/>
      </w:pPr>
      <w:bookmarkStart w:id="18" w:name="_Toc101281508"/>
      <w:bookmarkStart w:id="19" w:name="_Hlk100247017"/>
      <w:proofErr w:type="gramStart"/>
      <w:r w:rsidRPr="004C0986">
        <w:t>Total</w:t>
      </w:r>
      <w:proofErr w:type="gramEnd"/>
      <w:r w:rsidRPr="004C0986">
        <w:t xml:space="preserve"> de ganancias </w:t>
      </w:r>
      <w:r>
        <w:t>por meses.</w:t>
      </w:r>
      <w:bookmarkEnd w:id="18"/>
    </w:p>
    <w:p w14:paraId="332C4440" w14:textId="77777777" w:rsidR="002777E4" w:rsidRDefault="002777E4" w:rsidP="002777E4">
      <w:pPr>
        <w:spacing w:after="0" w:line="360" w:lineRule="auto"/>
        <w:jc w:val="both"/>
      </w:pPr>
      <w:r>
        <w:t xml:space="preserve">Uno de los resultados que más benefició a la plataforma Pay2Meta fueron sus ingresos mensuales, en la figura 64 se ilustra los ingresos iniciales de los meses de enero, febrero, marzo y abril del año 2022, al igual que la cantidad de dinero en disputas ganadas y perdidas, siendo esta última, cantidades menores de dinero con respecto a las cantidades de dinero disputadas ganadas, todo gracias a la implementación de los DLT. El total de ganancias por disputas ganadas fueron de </w:t>
      </w:r>
      <w:r w:rsidRPr="00377951">
        <w:t>$2.566,39</w:t>
      </w:r>
      <w:r>
        <w:t xml:space="preserve">, una cantidad alta a comparación con los </w:t>
      </w:r>
      <w:r w:rsidRPr="00377951">
        <w:t>$559,36</w:t>
      </w:r>
      <w:r>
        <w:t xml:space="preserve"> por las disputas perdidas.</w:t>
      </w:r>
    </w:p>
    <w:p w14:paraId="44430D09" w14:textId="77777777" w:rsidR="002777E4" w:rsidRDefault="002777E4" w:rsidP="002777E4">
      <w:pPr>
        <w:keepNext/>
      </w:pPr>
      <w:r>
        <w:rPr>
          <w:noProof/>
        </w:rPr>
        <w:drawing>
          <wp:inline distT="0" distB="0" distL="0" distR="0" wp14:anchorId="2C9F3E0F" wp14:editId="741C9F83">
            <wp:extent cx="5555672" cy="3345873"/>
            <wp:effectExtent l="0" t="0" r="0" b="0"/>
            <wp:docPr id="37" name="Gráfico 37">
              <a:extLst xmlns:a="http://schemas.openxmlformats.org/drawingml/2006/main">
                <a:ext uri="{FF2B5EF4-FFF2-40B4-BE49-F238E27FC236}">
                  <a16:creationId xmlns:a16="http://schemas.microsoft.com/office/drawing/2014/main" id="{4027912C-0FDE-4A29-A7D0-BD23FA695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57FE8A" w14:textId="77777777" w:rsidR="002777E4" w:rsidRPr="006C39FF" w:rsidRDefault="002777E4" w:rsidP="002777E4">
      <w:pPr>
        <w:pStyle w:val="Descripcin"/>
        <w:jc w:val="center"/>
      </w:pPr>
      <w:bookmarkStart w:id="20" w:name="_Toc101281591"/>
      <w:r>
        <w:t xml:space="preserve">Figura </w:t>
      </w:r>
      <w:r>
        <w:fldChar w:fldCharType="begin"/>
      </w:r>
      <w:r>
        <w:instrText xml:space="preserve"> SEQ Figura \* ARABIC </w:instrText>
      </w:r>
      <w:r>
        <w:fldChar w:fldCharType="separate"/>
      </w:r>
      <w:r>
        <w:rPr>
          <w:noProof/>
        </w:rPr>
        <w:t>64</w:t>
      </w:r>
      <w:r>
        <w:rPr>
          <w:noProof/>
        </w:rPr>
        <w:fldChar w:fldCharType="end"/>
      </w:r>
      <w:r>
        <w:t>: Total de ganancias mensuales</w:t>
      </w:r>
      <w:bookmarkEnd w:id="20"/>
    </w:p>
    <w:p w14:paraId="59CCE007" w14:textId="77777777" w:rsidR="002777E4"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23BB5BF7" w14:textId="77777777" w:rsidR="002777E4" w:rsidRPr="007D1189" w:rsidRDefault="002777E4" w:rsidP="002777E4">
      <w:pPr>
        <w:jc w:val="center"/>
        <w:rPr>
          <w:i/>
          <w:iCs/>
          <w:sz w:val="20"/>
          <w:szCs w:val="20"/>
        </w:rPr>
      </w:pPr>
    </w:p>
    <w:p w14:paraId="65C3CA07" w14:textId="77777777" w:rsidR="002777E4" w:rsidRDefault="002777E4" w:rsidP="002777E4">
      <w:pPr>
        <w:pStyle w:val="Sinespaciado"/>
        <w:numPr>
          <w:ilvl w:val="2"/>
          <w:numId w:val="41"/>
        </w:numPr>
        <w:spacing w:line="360" w:lineRule="auto"/>
      </w:pPr>
      <w:bookmarkStart w:id="21" w:name="_Toc101281509"/>
      <w:bookmarkEnd w:id="19"/>
      <w:r w:rsidRPr="004C0986">
        <w:t>Probabilidad de ganar disputas financieras por fraudes.</w:t>
      </w:r>
      <w:bookmarkEnd w:id="21"/>
    </w:p>
    <w:p w14:paraId="232A4A55" w14:textId="77777777" w:rsidR="002777E4" w:rsidRDefault="002777E4" w:rsidP="002777E4">
      <w:pPr>
        <w:spacing w:line="360" w:lineRule="auto"/>
        <w:jc w:val="both"/>
      </w:pPr>
      <w:r>
        <w:t>De las 255 transacciones tomadas como muestra, se incluyeron tantos pagos detectados como potencialmente estafas y fraudulentas entre los meses de enero, febrero, marzo y abril del año 2022, de las cuales 138 de esas transacciones son pagos fraudulentos, en la tabla 15 se ilustra las disputas ganadas que fueron de 125 frente a la cantidad de pagos fraudulentos detectados de 138, al igual que la cantidad de disputas perdidas que fueron 13 y el porcentaje de ganar estas disputas frente a las entidades bancarias del 90%.</w:t>
      </w:r>
    </w:p>
    <w:p w14:paraId="287265EA" w14:textId="77777777" w:rsidR="002777E4" w:rsidRDefault="002777E4" w:rsidP="002777E4">
      <w:pPr>
        <w:spacing w:line="360" w:lineRule="auto"/>
        <w:jc w:val="both"/>
      </w:pPr>
    </w:p>
    <w:tbl>
      <w:tblPr>
        <w:tblStyle w:val="Tablaconcuadrcula"/>
        <w:tblW w:w="0" w:type="auto"/>
        <w:tblLook w:val="04A0" w:firstRow="1" w:lastRow="0" w:firstColumn="1" w:lastColumn="0" w:noHBand="0" w:noVBand="1"/>
      </w:tblPr>
      <w:tblGrid>
        <w:gridCol w:w="2123"/>
        <w:gridCol w:w="2121"/>
        <w:gridCol w:w="2121"/>
        <w:gridCol w:w="2129"/>
      </w:tblGrid>
      <w:tr w:rsidR="002777E4" w14:paraId="28C93DD5" w14:textId="77777777" w:rsidTr="00CA3DF5">
        <w:tc>
          <w:tcPr>
            <w:tcW w:w="2161" w:type="dxa"/>
            <w:shd w:val="clear" w:color="auto" w:fill="2E74B5" w:themeFill="accent5" w:themeFillShade="BF"/>
            <w:vAlign w:val="center"/>
          </w:tcPr>
          <w:p w14:paraId="47BC7CFA" w14:textId="77777777" w:rsidR="002777E4" w:rsidRPr="00D051BA" w:rsidRDefault="002777E4" w:rsidP="00CA3DF5">
            <w:pPr>
              <w:jc w:val="center"/>
              <w:rPr>
                <w:b/>
                <w:bCs/>
                <w:color w:val="FFFFFF" w:themeColor="background1"/>
              </w:rPr>
            </w:pPr>
            <w:r w:rsidRPr="00D051BA">
              <w:rPr>
                <w:b/>
                <w:bCs/>
                <w:color w:val="FFFFFF" w:themeColor="background1"/>
              </w:rPr>
              <w:lastRenderedPageBreak/>
              <w:t>Cantidad de pagos por fraude</w:t>
            </w:r>
          </w:p>
        </w:tc>
        <w:tc>
          <w:tcPr>
            <w:tcW w:w="2161" w:type="dxa"/>
            <w:shd w:val="clear" w:color="auto" w:fill="2E74B5" w:themeFill="accent5" w:themeFillShade="BF"/>
            <w:vAlign w:val="center"/>
          </w:tcPr>
          <w:p w14:paraId="25135ACA" w14:textId="77777777" w:rsidR="002777E4" w:rsidRPr="00D051BA" w:rsidRDefault="002777E4" w:rsidP="00CA3DF5">
            <w:pPr>
              <w:jc w:val="center"/>
              <w:rPr>
                <w:b/>
                <w:bCs/>
                <w:color w:val="FFFFFF" w:themeColor="background1"/>
              </w:rPr>
            </w:pPr>
            <w:r w:rsidRPr="00D051BA">
              <w:rPr>
                <w:b/>
                <w:bCs/>
                <w:color w:val="FFFFFF" w:themeColor="background1"/>
              </w:rPr>
              <w:t>Disputas ganadas</w:t>
            </w:r>
          </w:p>
        </w:tc>
        <w:tc>
          <w:tcPr>
            <w:tcW w:w="2161" w:type="dxa"/>
            <w:shd w:val="clear" w:color="auto" w:fill="2E74B5" w:themeFill="accent5" w:themeFillShade="BF"/>
            <w:vAlign w:val="center"/>
          </w:tcPr>
          <w:p w14:paraId="728EB44C" w14:textId="77777777" w:rsidR="002777E4" w:rsidRPr="00D051BA" w:rsidRDefault="002777E4" w:rsidP="00CA3DF5">
            <w:pPr>
              <w:jc w:val="center"/>
              <w:rPr>
                <w:b/>
                <w:bCs/>
                <w:color w:val="FFFFFF" w:themeColor="background1"/>
              </w:rPr>
            </w:pPr>
            <w:r w:rsidRPr="00D051BA">
              <w:rPr>
                <w:b/>
                <w:bCs/>
                <w:color w:val="FFFFFF" w:themeColor="background1"/>
              </w:rPr>
              <w:t>Disputas perdidas</w:t>
            </w:r>
          </w:p>
        </w:tc>
        <w:tc>
          <w:tcPr>
            <w:tcW w:w="2161" w:type="dxa"/>
            <w:shd w:val="clear" w:color="auto" w:fill="2E74B5" w:themeFill="accent5" w:themeFillShade="BF"/>
            <w:vAlign w:val="center"/>
          </w:tcPr>
          <w:p w14:paraId="67A7BB4C" w14:textId="77777777" w:rsidR="002777E4" w:rsidRPr="00D051BA" w:rsidRDefault="002777E4" w:rsidP="00CA3DF5">
            <w:pPr>
              <w:jc w:val="center"/>
              <w:rPr>
                <w:b/>
                <w:bCs/>
                <w:color w:val="FFFFFF" w:themeColor="background1"/>
              </w:rPr>
            </w:pPr>
            <w:r>
              <w:rPr>
                <w:b/>
                <w:bCs/>
                <w:color w:val="FFFFFF" w:themeColor="background1"/>
              </w:rPr>
              <w:t>Porcentaje de d</w:t>
            </w:r>
            <w:r w:rsidRPr="00D051BA">
              <w:rPr>
                <w:b/>
                <w:bCs/>
                <w:color w:val="FFFFFF" w:themeColor="background1"/>
              </w:rPr>
              <w:t xml:space="preserve">isputas </w:t>
            </w:r>
            <w:r>
              <w:rPr>
                <w:b/>
                <w:bCs/>
                <w:color w:val="FFFFFF" w:themeColor="background1"/>
              </w:rPr>
              <w:t>ganadas</w:t>
            </w:r>
            <w:r w:rsidRPr="00D051BA">
              <w:rPr>
                <w:b/>
                <w:bCs/>
                <w:color w:val="FFFFFF" w:themeColor="background1"/>
              </w:rPr>
              <w:t xml:space="preserve"> por fraude</w:t>
            </w:r>
          </w:p>
        </w:tc>
      </w:tr>
      <w:tr w:rsidR="002777E4" w14:paraId="621531C3" w14:textId="77777777" w:rsidTr="00CA3DF5">
        <w:tc>
          <w:tcPr>
            <w:tcW w:w="2161" w:type="dxa"/>
          </w:tcPr>
          <w:p w14:paraId="4B55EB72" w14:textId="77777777" w:rsidR="002777E4" w:rsidRDefault="002777E4" w:rsidP="00CA3DF5">
            <w:pPr>
              <w:jc w:val="center"/>
            </w:pPr>
            <w:r>
              <w:t>138</w:t>
            </w:r>
          </w:p>
        </w:tc>
        <w:tc>
          <w:tcPr>
            <w:tcW w:w="2161" w:type="dxa"/>
          </w:tcPr>
          <w:p w14:paraId="3A3650CD" w14:textId="77777777" w:rsidR="002777E4" w:rsidRDefault="002777E4" w:rsidP="00CA3DF5">
            <w:pPr>
              <w:jc w:val="center"/>
            </w:pPr>
            <w:r>
              <w:t>125</w:t>
            </w:r>
          </w:p>
        </w:tc>
        <w:tc>
          <w:tcPr>
            <w:tcW w:w="2161" w:type="dxa"/>
          </w:tcPr>
          <w:p w14:paraId="50C6A0E3" w14:textId="77777777" w:rsidR="002777E4" w:rsidRDefault="002777E4" w:rsidP="00CA3DF5">
            <w:pPr>
              <w:jc w:val="center"/>
            </w:pPr>
            <w:r>
              <w:t>13</w:t>
            </w:r>
          </w:p>
        </w:tc>
        <w:tc>
          <w:tcPr>
            <w:tcW w:w="2161" w:type="dxa"/>
          </w:tcPr>
          <w:p w14:paraId="6F170B30" w14:textId="77777777" w:rsidR="002777E4" w:rsidRDefault="002777E4" w:rsidP="00CA3DF5">
            <w:pPr>
              <w:keepNext/>
              <w:jc w:val="center"/>
            </w:pPr>
            <w:r>
              <w:t>90%</w:t>
            </w:r>
          </w:p>
        </w:tc>
      </w:tr>
    </w:tbl>
    <w:p w14:paraId="6222F375" w14:textId="77777777" w:rsidR="002777E4" w:rsidRDefault="002777E4" w:rsidP="002777E4">
      <w:pPr>
        <w:pStyle w:val="Descripcin"/>
        <w:jc w:val="center"/>
      </w:pPr>
      <w:bookmarkStart w:id="22" w:name="_Toc101281607"/>
      <w:r>
        <w:t xml:space="preserve">Tabla </w:t>
      </w:r>
      <w:r>
        <w:fldChar w:fldCharType="begin"/>
      </w:r>
      <w:r>
        <w:instrText xml:space="preserve"> SEQ Tabla \* ARABIC </w:instrText>
      </w:r>
      <w:r>
        <w:fldChar w:fldCharType="separate"/>
      </w:r>
      <w:r>
        <w:rPr>
          <w:noProof/>
        </w:rPr>
        <w:t>15</w:t>
      </w:r>
      <w:r>
        <w:rPr>
          <w:noProof/>
        </w:rPr>
        <w:fldChar w:fldCharType="end"/>
      </w:r>
      <w:r>
        <w:t>: Probabilidad de ganar disputas financieras por fraudes</w:t>
      </w:r>
      <w:bookmarkEnd w:id="22"/>
    </w:p>
    <w:p w14:paraId="71E2C5BD" w14:textId="77777777" w:rsidR="002777E4" w:rsidRPr="001C7A83"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23C8D5A1" w14:textId="77777777" w:rsidR="002777E4" w:rsidRDefault="002777E4" w:rsidP="002777E4">
      <w:pPr>
        <w:pStyle w:val="Sinespaciado"/>
        <w:numPr>
          <w:ilvl w:val="2"/>
          <w:numId w:val="41"/>
        </w:numPr>
        <w:spacing w:line="360" w:lineRule="auto"/>
      </w:pPr>
      <w:bookmarkStart w:id="23" w:name="_Toc101281510"/>
      <w:r w:rsidRPr="004C0986">
        <w:t>La aplicación del coeficiente de</w:t>
      </w:r>
      <w:r>
        <w:t xml:space="preserve"> correlación de</w:t>
      </w:r>
      <w:r w:rsidRPr="004C0986">
        <w:t xml:space="preserve"> Spe</w:t>
      </w:r>
      <w:r>
        <w:t>a</w:t>
      </w:r>
      <w:r w:rsidRPr="004C0986">
        <w:t>rman.</w:t>
      </w:r>
      <w:bookmarkEnd w:id="23"/>
    </w:p>
    <w:p w14:paraId="6AB83F9A" w14:textId="77777777" w:rsidR="002777E4" w:rsidRPr="00FA036A" w:rsidRDefault="002777E4" w:rsidP="002777E4">
      <w:pPr>
        <w:spacing w:line="360" w:lineRule="auto"/>
        <w:jc w:val="both"/>
      </w:pPr>
      <w:r>
        <w:t>Para determinar el tipo de correlación y verificar la hipótesis planteada en esta investigación se utilizó el coeficiente de Spearman debido a que en el punto 2.6 se estableció que los datos a trabajar eran de tipo no paramétricas. En la tabla 16 se ilustra la asignación de rangos de los datos de los DLT ejecutados y fraudes o estafas ganados durante las 14 semanas que duró la investigación.</w:t>
      </w:r>
    </w:p>
    <w:tbl>
      <w:tblPr>
        <w:tblStyle w:val="Tablaconcuadrcula"/>
        <w:tblW w:w="8720" w:type="dxa"/>
        <w:tblLook w:val="04A0" w:firstRow="1" w:lastRow="0" w:firstColumn="1" w:lastColumn="0" w:noHBand="0" w:noVBand="1"/>
      </w:tblPr>
      <w:tblGrid>
        <w:gridCol w:w="1137"/>
        <w:gridCol w:w="1790"/>
        <w:gridCol w:w="2091"/>
        <w:gridCol w:w="1008"/>
        <w:gridCol w:w="1028"/>
        <w:gridCol w:w="821"/>
        <w:gridCol w:w="845"/>
      </w:tblGrid>
      <w:tr w:rsidR="002777E4" w:rsidRPr="00C45FE8" w14:paraId="4EFAF30E" w14:textId="77777777" w:rsidTr="00CA3DF5">
        <w:trPr>
          <w:trHeight w:val="288"/>
        </w:trPr>
        <w:tc>
          <w:tcPr>
            <w:tcW w:w="1137" w:type="dxa"/>
            <w:noWrap/>
            <w:hideMark/>
          </w:tcPr>
          <w:p w14:paraId="396CE70A"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Semanas</w:t>
            </w:r>
          </w:p>
        </w:tc>
        <w:tc>
          <w:tcPr>
            <w:tcW w:w="1790" w:type="dxa"/>
            <w:noWrap/>
            <w:hideMark/>
          </w:tcPr>
          <w:p w14:paraId="21E83A49"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DLT ejecutados</w:t>
            </w:r>
          </w:p>
        </w:tc>
        <w:tc>
          <w:tcPr>
            <w:tcW w:w="2091" w:type="dxa"/>
            <w:noWrap/>
            <w:hideMark/>
          </w:tcPr>
          <w:p w14:paraId="6510B937"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Fraudes y estafas ganados</w:t>
            </w:r>
          </w:p>
        </w:tc>
        <w:tc>
          <w:tcPr>
            <w:tcW w:w="1008" w:type="dxa"/>
            <w:noWrap/>
            <w:hideMark/>
          </w:tcPr>
          <w:p w14:paraId="4D9E63BF"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Rango A</w:t>
            </w:r>
          </w:p>
        </w:tc>
        <w:tc>
          <w:tcPr>
            <w:tcW w:w="1028" w:type="dxa"/>
            <w:noWrap/>
            <w:hideMark/>
          </w:tcPr>
          <w:p w14:paraId="50657E63"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Rango B</w:t>
            </w:r>
          </w:p>
        </w:tc>
        <w:tc>
          <w:tcPr>
            <w:tcW w:w="821" w:type="dxa"/>
            <w:noWrap/>
            <w:hideMark/>
          </w:tcPr>
          <w:p w14:paraId="60AE7A4C"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d</w:t>
            </w:r>
          </w:p>
        </w:tc>
        <w:tc>
          <w:tcPr>
            <w:tcW w:w="845" w:type="dxa"/>
            <w:noWrap/>
            <w:hideMark/>
          </w:tcPr>
          <w:p w14:paraId="2096A9C0" w14:textId="77777777" w:rsidR="002777E4" w:rsidRPr="00C45FE8" w:rsidRDefault="002777E4" w:rsidP="00CA3DF5">
            <w:pPr>
              <w:jc w:val="cente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d^2</w:t>
            </w:r>
          </w:p>
        </w:tc>
      </w:tr>
      <w:tr w:rsidR="002777E4" w:rsidRPr="00C45FE8" w14:paraId="025D02B4" w14:textId="77777777" w:rsidTr="00CA3DF5">
        <w:trPr>
          <w:trHeight w:val="288"/>
        </w:trPr>
        <w:tc>
          <w:tcPr>
            <w:tcW w:w="1137" w:type="dxa"/>
            <w:noWrap/>
            <w:hideMark/>
          </w:tcPr>
          <w:p w14:paraId="0C4B44C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1790" w:type="dxa"/>
            <w:noWrap/>
            <w:hideMark/>
          </w:tcPr>
          <w:p w14:paraId="3E9AD80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20</w:t>
            </w:r>
          </w:p>
        </w:tc>
        <w:tc>
          <w:tcPr>
            <w:tcW w:w="2091" w:type="dxa"/>
            <w:noWrap/>
            <w:hideMark/>
          </w:tcPr>
          <w:p w14:paraId="555DFB1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32</w:t>
            </w:r>
          </w:p>
        </w:tc>
        <w:tc>
          <w:tcPr>
            <w:tcW w:w="1008" w:type="dxa"/>
            <w:noWrap/>
            <w:hideMark/>
          </w:tcPr>
          <w:p w14:paraId="1176F2A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11</w:t>
            </w:r>
          </w:p>
        </w:tc>
        <w:tc>
          <w:tcPr>
            <w:tcW w:w="1028" w:type="dxa"/>
            <w:noWrap/>
            <w:hideMark/>
          </w:tcPr>
          <w:p w14:paraId="1B46F0B1"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14</w:t>
            </w:r>
          </w:p>
        </w:tc>
        <w:tc>
          <w:tcPr>
            <w:tcW w:w="821" w:type="dxa"/>
            <w:noWrap/>
            <w:hideMark/>
          </w:tcPr>
          <w:p w14:paraId="0B8C86D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845" w:type="dxa"/>
            <w:noWrap/>
            <w:hideMark/>
          </w:tcPr>
          <w:p w14:paraId="291E16C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r>
      <w:tr w:rsidR="002777E4" w:rsidRPr="00C45FE8" w14:paraId="1B861F29" w14:textId="77777777" w:rsidTr="00CA3DF5">
        <w:trPr>
          <w:trHeight w:val="288"/>
        </w:trPr>
        <w:tc>
          <w:tcPr>
            <w:tcW w:w="1137" w:type="dxa"/>
            <w:noWrap/>
            <w:hideMark/>
          </w:tcPr>
          <w:p w14:paraId="453D5329"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w:t>
            </w:r>
          </w:p>
        </w:tc>
        <w:tc>
          <w:tcPr>
            <w:tcW w:w="1790" w:type="dxa"/>
            <w:noWrap/>
            <w:hideMark/>
          </w:tcPr>
          <w:p w14:paraId="5CAC265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25</w:t>
            </w:r>
          </w:p>
        </w:tc>
        <w:tc>
          <w:tcPr>
            <w:tcW w:w="2091" w:type="dxa"/>
            <w:noWrap/>
            <w:hideMark/>
          </w:tcPr>
          <w:p w14:paraId="534784F0"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23</w:t>
            </w:r>
          </w:p>
        </w:tc>
        <w:tc>
          <w:tcPr>
            <w:tcW w:w="1008" w:type="dxa"/>
            <w:noWrap/>
            <w:hideMark/>
          </w:tcPr>
          <w:p w14:paraId="79C3C0E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13</w:t>
            </w:r>
          </w:p>
        </w:tc>
        <w:tc>
          <w:tcPr>
            <w:tcW w:w="1028" w:type="dxa"/>
            <w:noWrap/>
            <w:hideMark/>
          </w:tcPr>
          <w:p w14:paraId="65CC5653"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8</w:t>
            </w:r>
          </w:p>
        </w:tc>
        <w:tc>
          <w:tcPr>
            <w:tcW w:w="821" w:type="dxa"/>
            <w:noWrap/>
            <w:hideMark/>
          </w:tcPr>
          <w:p w14:paraId="6B18AA7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845" w:type="dxa"/>
            <w:noWrap/>
            <w:hideMark/>
          </w:tcPr>
          <w:p w14:paraId="2C50317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25</w:t>
            </w:r>
          </w:p>
        </w:tc>
      </w:tr>
      <w:tr w:rsidR="002777E4" w:rsidRPr="00C45FE8" w14:paraId="791B14AF" w14:textId="77777777" w:rsidTr="00CA3DF5">
        <w:trPr>
          <w:trHeight w:val="288"/>
        </w:trPr>
        <w:tc>
          <w:tcPr>
            <w:tcW w:w="1137" w:type="dxa"/>
            <w:noWrap/>
            <w:hideMark/>
          </w:tcPr>
          <w:p w14:paraId="03663094"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1790" w:type="dxa"/>
            <w:noWrap/>
            <w:hideMark/>
          </w:tcPr>
          <w:p w14:paraId="0262589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44</w:t>
            </w:r>
          </w:p>
        </w:tc>
        <w:tc>
          <w:tcPr>
            <w:tcW w:w="2091" w:type="dxa"/>
            <w:noWrap/>
            <w:hideMark/>
          </w:tcPr>
          <w:p w14:paraId="11ED3C86"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54</w:t>
            </w:r>
          </w:p>
        </w:tc>
        <w:tc>
          <w:tcPr>
            <w:tcW w:w="1008" w:type="dxa"/>
            <w:noWrap/>
            <w:hideMark/>
          </w:tcPr>
          <w:p w14:paraId="5537A5D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14</w:t>
            </w:r>
          </w:p>
        </w:tc>
        <w:tc>
          <w:tcPr>
            <w:tcW w:w="1028" w:type="dxa"/>
            <w:noWrap/>
            <w:hideMark/>
          </w:tcPr>
          <w:p w14:paraId="52E20CA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13</w:t>
            </w:r>
          </w:p>
        </w:tc>
        <w:tc>
          <w:tcPr>
            <w:tcW w:w="821" w:type="dxa"/>
            <w:noWrap/>
            <w:hideMark/>
          </w:tcPr>
          <w:p w14:paraId="450D7EC6"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45" w:type="dxa"/>
            <w:noWrap/>
            <w:hideMark/>
          </w:tcPr>
          <w:p w14:paraId="31C54CA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r>
      <w:tr w:rsidR="002777E4" w:rsidRPr="00C45FE8" w14:paraId="3C0D8199" w14:textId="77777777" w:rsidTr="00CA3DF5">
        <w:trPr>
          <w:trHeight w:val="288"/>
        </w:trPr>
        <w:tc>
          <w:tcPr>
            <w:tcW w:w="1137" w:type="dxa"/>
            <w:noWrap/>
            <w:hideMark/>
          </w:tcPr>
          <w:p w14:paraId="1EF5723D"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w:t>
            </w:r>
          </w:p>
        </w:tc>
        <w:tc>
          <w:tcPr>
            <w:tcW w:w="1790" w:type="dxa"/>
            <w:noWrap/>
            <w:hideMark/>
          </w:tcPr>
          <w:p w14:paraId="492C60F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18</w:t>
            </w:r>
          </w:p>
        </w:tc>
        <w:tc>
          <w:tcPr>
            <w:tcW w:w="2091" w:type="dxa"/>
            <w:noWrap/>
            <w:hideMark/>
          </w:tcPr>
          <w:p w14:paraId="469065D4"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12</w:t>
            </w:r>
          </w:p>
        </w:tc>
        <w:tc>
          <w:tcPr>
            <w:tcW w:w="1008" w:type="dxa"/>
            <w:noWrap/>
            <w:hideMark/>
          </w:tcPr>
          <w:p w14:paraId="2C9F532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c>
          <w:tcPr>
            <w:tcW w:w="1028" w:type="dxa"/>
            <w:noWrap/>
            <w:hideMark/>
          </w:tcPr>
          <w:p w14:paraId="7745D089"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c>
          <w:tcPr>
            <w:tcW w:w="821" w:type="dxa"/>
            <w:noWrap/>
            <w:hideMark/>
          </w:tcPr>
          <w:p w14:paraId="4C5E2203"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0</w:t>
            </w:r>
          </w:p>
        </w:tc>
        <w:tc>
          <w:tcPr>
            <w:tcW w:w="845" w:type="dxa"/>
            <w:noWrap/>
            <w:hideMark/>
          </w:tcPr>
          <w:p w14:paraId="524BABE0"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0</w:t>
            </w:r>
          </w:p>
        </w:tc>
      </w:tr>
      <w:tr w:rsidR="002777E4" w:rsidRPr="00C45FE8" w14:paraId="745D6413" w14:textId="77777777" w:rsidTr="00CA3DF5">
        <w:trPr>
          <w:trHeight w:val="288"/>
        </w:trPr>
        <w:tc>
          <w:tcPr>
            <w:tcW w:w="1137" w:type="dxa"/>
            <w:noWrap/>
            <w:hideMark/>
          </w:tcPr>
          <w:p w14:paraId="6D31A086"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1790" w:type="dxa"/>
            <w:noWrap/>
            <w:hideMark/>
          </w:tcPr>
          <w:p w14:paraId="23E81BA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7</w:t>
            </w:r>
          </w:p>
        </w:tc>
        <w:tc>
          <w:tcPr>
            <w:tcW w:w="2091" w:type="dxa"/>
            <w:noWrap/>
            <w:hideMark/>
          </w:tcPr>
          <w:p w14:paraId="1A78DF8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1008" w:type="dxa"/>
            <w:noWrap/>
            <w:hideMark/>
          </w:tcPr>
          <w:p w14:paraId="2A2346E9"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1028" w:type="dxa"/>
            <w:noWrap/>
            <w:hideMark/>
          </w:tcPr>
          <w:p w14:paraId="2664137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w:t>
            </w:r>
          </w:p>
        </w:tc>
        <w:tc>
          <w:tcPr>
            <w:tcW w:w="821" w:type="dxa"/>
            <w:noWrap/>
            <w:hideMark/>
          </w:tcPr>
          <w:p w14:paraId="684B864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45" w:type="dxa"/>
            <w:noWrap/>
            <w:hideMark/>
          </w:tcPr>
          <w:p w14:paraId="346A7D80"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r>
      <w:tr w:rsidR="002777E4" w:rsidRPr="00C45FE8" w14:paraId="07895215" w14:textId="77777777" w:rsidTr="00CA3DF5">
        <w:trPr>
          <w:trHeight w:val="288"/>
        </w:trPr>
        <w:tc>
          <w:tcPr>
            <w:tcW w:w="1137" w:type="dxa"/>
            <w:noWrap/>
            <w:hideMark/>
          </w:tcPr>
          <w:p w14:paraId="3DD51F2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6</w:t>
            </w:r>
          </w:p>
        </w:tc>
        <w:tc>
          <w:tcPr>
            <w:tcW w:w="1790" w:type="dxa"/>
            <w:noWrap/>
            <w:hideMark/>
          </w:tcPr>
          <w:p w14:paraId="34198E9C"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2091" w:type="dxa"/>
            <w:noWrap/>
            <w:hideMark/>
          </w:tcPr>
          <w:p w14:paraId="5380D648"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w:t>
            </w:r>
          </w:p>
        </w:tc>
        <w:tc>
          <w:tcPr>
            <w:tcW w:w="1008" w:type="dxa"/>
            <w:noWrap/>
            <w:hideMark/>
          </w:tcPr>
          <w:p w14:paraId="10A9594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w:t>
            </w:r>
          </w:p>
        </w:tc>
        <w:tc>
          <w:tcPr>
            <w:tcW w:w="1028" w:type="dxa"/>
            <w:noWrap/>
            <w:hideMark/>
          </w:tcPr>
          <w:p w14:paraId="4BD3D44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21" w:type="dxa"/>
            <w:noWrap/>
            <w:hideMark/>
          </w:tcPr>
          <w:p w14:paraId="1884C5C6"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45" w:type="dxa"/>
            <w:noWrap/>
            <w:hideMark/>
          </w:tcPr>
          <w:p w14:paraId="38A4060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r>
      <w:tr w:rsidR="002777E4" w:rsidRPr="00C45FE8" w14:paraId="72824CD9" w14:textId="77777777" w:rsidTr="00CA3DF5">
        <w:trPr>
          <w:trHeight w:val="288"/>
        </w:trPr>
        <w:tc>
          <w:tcPr>
            <w:tcW w:w="1137" w:type="dxa"/>
            <w:noWrap/>
            <w:hideMark/>
          </w:tcPr>
          <w:p w14:paraId="3A1EA0E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7</w:t>
            </w:r>
          </w:p>
        </w:tc>
        <w:tc>
          <w:tcPr>
            <w:tcW w:w="1790" w:type="dxa"/>
            <w:noWrap/>
            <w:hideMark/>
          </w:tcPr>
          <w:p w14:paraId="4410B83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c>
          <w:tcPr>
            <w:tcW w:w="2091" w:type="dxa"/>
            <w:noWrap/>
            <w:hideMark/>
          </w:tcPr>
          <w:p w14:paraId="50788D3E"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11</w:t>
            </w:r>
          </w:p>
        </w:tc>
        <w:tc>
          <w:tcPr>
            <w:tcW w:w="1008" w:type="dxa"/>
            <w:noWrap/>
            <w:hideMark/>
          </w:tcPr>
          <w:p w14:paraId="3BCF6D3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w:t>
            </w:r>
          </w:p>
        </w:tc>
        <w:tc>
          <w:tcPr>
            <w:tcW w:w="1028" w:type="dxa"/>
            <w:noWrap/>
            <w:hideMark/>
          </w:tcPr>
          <w:p w14:paraId="1F9EEF0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10</w:t>
            </w:r>
          </w:p>
        </w:tc>
        <w:tc>
          <w:tcPr>
            <w:tcW w:w="821" w:type="dxa"/>
            <w:noWrap/>
            <w:hideMark/>
          </w:tcPr>
          <w:p w14:paraId="2F4534B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-6</w:t>
            </w:r>
          </w:p>
        </w:tc>
        <w:tc>
          <w:tcPr>
            <w:tcW w:w="845" w:type="dxa"/>
            <w:noWrap/>
            <w:hideMark/>
          </w:tcPr>
          <w:p w14:paraId="0D042168"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36</w:t>
            </w:r>
          </w:p>
        </w:tc>
      </w:tr>
      <w:tr w:rsidR="002777E4" w:rsidRPr="00C45FE8" w14:paraId="219772A8" w14:textId="77777777" w:rsidTr="00CA3DF5">
        <w:trPr>
          <w:trHeight w:val="288"/>
        </w:trPr>
        <w:tc>
          <w:tcPr>
            <w:tcW w:w="1137" w:type="dxa"/>
            <w:noWrap/>
            <w:hideMark/>
          </w:tcPr>
          <w:p w14:paraId="0BCB184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8</w:t>
            </w:r>
          </w:p>
        </w:tc>
        <w:tc>
          <w:tcPr>
            <w:tcW w:w="1790" w:type="dxa"/>
            <w:noWrap/>
            <w:hideMark/>
          </w:tcPr>
          <w:p w14:paraId="096ED73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12</w:t>
            </w:r>
          </w:p>
        </w:tc>
        <w:tc>
          <w:tcPr>
            <w:tcW w:w="2091" w:type="dxa"/>
            <w:noWrap/>
            <w:hideMark/>
          </w:tcPr>
          <w:p w14:paraId="7C437C78"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8</w:t>
            </w:r>
          </w:p>
        </w:tc>
        <w:tc>
          <w:tcPr>
            <w:tcW w:w="1008" w:type="dxa"/>
            <w:noWrap/>
            <w:hideMark/>
          </w:tcPr>
          <w:p w14:paraId="440B14D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6</w:t>
            </w:r>
          </w:p>
        </w:tc>
        <w:tc>
          <w:tcPr>
            <w:tcW w:w="1028" w:type="dxa"/>
            <w:noWrap/>
            <w:hideMark/>
          </w:tcPr>
          <w:p w14:paraId="782B185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821" w:type="dxa"/>
            <w:noWrap/>
            <w:hideMark/>
          </w:tcPr>
          <w:p w14:paraId="285220E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845" w:type="dxa"/>
            <w:noWrap/>
            <w:hideMark/>
          </w:tcPr>
          <w:p w14:paraId="71C4AFC1"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r>
      <w:tr w:rsidR="002777E4" w:rsidRPr="00C45FE8" w14:paraId="74B2D460" w14:textId="77777777" w:rsidTr="00CA3DF5">
        <w:trPr>
          <w:trHeight w:val="288"/>
        </w:trPr>
        <w:tc>
          <w:tcPr>
            <w:tcW w:w="1137" w:type="dxa"/>
            <w:noWrap/>
            <w:hideMark/>
          </w:tcPr>
          <w:p w14:paraId="4A164E1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c>
          <w:tcPr>
            <w:tcW w:w="1790" w:type="dxa"/>
            <w:noWrap/>
            <w:hideMark/>
          </w:tcPr>
          <w:p w14:paraId="54BF28B1"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w:t>
            </w:r>
          </w:p>
        </w:tc>
        <w:tc>
          <w:tcPr>
            <w:tcW w:w="2091" w:type="dxa"/>
            <w:noWrap/>
            <w:hideMark/>
          </w:tcPr>
          <w:p w14:paraId="4488E1B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w:t>
            </w:r>
          </w:p>
        </w:tc>
        <w:tc>
          <w:tcPr>
            <w:tcW w:w="1008" w:type="dxa"/>
            <w:noWrap/>
            <w:hideMark/>
          </w:tcPr>
          <w:p w14:paraId="524749D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1028" w:type="dxa"/>
            <w:noWrap/>
            <w:hideMark/>
          </w:tcPr>
          <w:p w14:paraId="13E9D28C"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w:t>
            </w:r>
          </w:p>
        </w:tc>
        <w:tc>
          <w:tcPr>
            <w:tcW w:w="821" w:type="dxa"/>
            <w:noWrap/>
            <w:hideMark/>
          </w:tcPr>
          <w:p w14:paraId="0C3EF2DE"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-3</w:t>
            </w:r>
          </w:p>
        </w:tc>
        <w:tc>
          <w:tcPr>
            <w:tcW w:w="845" w:type="dxa"/>
            <w:noWrap/>
            <w:hideMark/>
          </w:tcPr>
          <w:p w14:paraId="65F7F65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9</w:t>
            </w:r>
          </w:p>
        </w:tc>
      </w:tr>
      <w:tr w:rsidR="002777E4" w:rsidRPr="00C45FE8" w14:paraId="65FD7704" w14:textId="77777777" w:rsidTr="00CA3DF5">
        <w:trPr>
          <w:trHeight w:val="288"/>
        </w:trPr>
        <w:tc>
          <w:tcPr>
            <w:tcW w:w="1137" w:type="dxa"/>
            <w:noWrap/>
            <w:hideMark/>
          </w:tcPr>
          <w:p w14:paraId="0B8A667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10</w:t>
            </w:r>
          </w:p>
        </w:tc>
        <w:tc>
          <w:tcPr>
            <w:tcW w:w="1790" w:type="dxa"/>
            <w:noWrap/>
            <w:hideMark/>
          </w:tcPr>
          <w:p w14:paraId="578A3D0C"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19</w:t>
            </w:r>
          </w:p>
        </w:tc>
        <w:tc>
          <w:tcPr>
            <w:tcW w:w="2091" w:type="dxa"/>
            <w:noWrap/>
            <w:hideMark/>
          </w:tcPr>
          <w:p w14:paraId="6D54D05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14</w:t>
            </w:r>
          </w:p>
        </w:tc>
        <w:tc>
          <w:tcPr>
            <w:tcW w:w="1008" w:type="dxa"/>
            <w:noWrap/>
            <w:hideMark/>
          </w:tcPr>
          <w:p w14:paraId="69C8C74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10</w:t>
            </w:r>
          </w:p>
        </w:tc>
        <w:tc>
          <w:tcPr>
            <w:tcW w:w="1028" w:type="dxa"/>
            <w:noWrap/>
            <w:hideMark/>
          </w:tcPr>
          <w:p w14:paraId="5691175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821" w:type="dxa"/>
            <w:noWrap/>
            <w:hideMark/>
          </w:tcPr>
          <w:p w14:paraId="1739B283"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845" w:type="dxa"/>
            <w:noWrap/>
            <w:hideMark/>
          </w:tcPr>
          <w:p w14:paraId="1B8204C3"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25</w:t>
            </w:r>
          </w:p>
        </w:tc>
      </w:tr>
      <w:tr w:rsidR="002777E4" w:rsidRPr="00C45FE8" w14:paraId="5FF35742" w14:textId="77777777" w:rsidTr="00CA3DF5">
        <w:trPr>
          <w:trHeight w:val="288"/>
        </w:trPr>
        <w:tc>
          <w:tcPr>
            <w:tcW w:w="1137" w:type="dxa"/>
            <w:noWrap/>
            <w:hideMark/>
          </w:tcPr>
          <w:p w14:paraId="47CBCDE9"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11</w:t>
            </w:r>
          </w:p>
        </w:tc>
        <w:tc>
          <w:tcPr>
            <w:tcW w:w="1790" w:type="dxa"/>
            <w:noWrap/>
            <w:hideMark/>
          </w:tcPr>
          <w:p w14:paraId="70A74E5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16</w:t>
            </w:r>
          </w:p>
        </w:tc>
        <w:tc>
          <w:tcPr>
            <w:tcW w:w="2091" w:type="dxa"/>
            <w:noWrap/>
            <w:hideMark/>
          </w:tcPr>
          <w:p w14:paraId="5D75529E"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18</w:t>
            </w:r>
          </w:p>
        </w:tc>
        <w:tc>
          <w:tcPr>
            <w:tcW w:w="1008" w:type="dxa"/>
            <w:noWrap/>
            <w:hideMark/>
          </w:tcPr>
          <w:p w14:paraId="78EF70B4"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8</w:t>
            </w:r>
          </w:p>
        </w:tc>
        <w:tc>
          <w:tcPr>
            <w:tcW w:w="1028" w:type="dxa"/>
            <w:noWrap/>
            <w:hideMark/>
          </w:tcPr>
          <w:p w14:paraId="14C3AC8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7</w:t>
            </w:r>
          </w:p>
        </w:tc>
        <w:tc>
          <w:tcPr>
            <w:tcW w:w="821" w:type="dxa"/>
            <w:noWrap/>
            <w:hideMark/>
          </w:tcPr>
          <w:p w14:paraId="31BE18F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45" w:type="dxa"/>
            <w:noWrap/>
            <w:hideMark/>
          </w:tcPr>
          <w:p w14:paraId="64D1CEB1"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r>
      <w:tr w:rsidR="002777E4" w:rsidRPr="00C45FE8" w14:paraId="3A96F3DB" w14:textId="77777777" w:rsidTr="00CA3DF5">
        <w:trPr>
          <w:trHeight w:val="288"/>
        </w:trPr>
        <w:tc>
          <w:tcPr>
            <w:tcW w:w="1137" w:type="dxa"/>
            <w:noWrap/>
            <w:hideMark/>
          </w:tcPr>
          <w:p w14:paraId="15675B9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12</w:t>
            </w:r>
          </w:p>
        </w:tc>
        <w:tc>
          <w:tcPr>
            <w:tcW w:w="1790" w:type="dxa"/>
            <w:noWrap/>
            <w:hideMark/>
          </w:tcPr>
          <w:p w14:paraId="393176D0"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23</w:t>
            </w:r>
          </w:p>
        </w:tc>
        <w:tc>
          <w:tcPr>
            <w:tcW w:w="2091" w:type="dxa"/>
            <w:noWrap/>
            <w:hideMark/>
          </w:tcPr>
          <w:p w14:paraId="39A7E3ED"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21</w:t>
            </w:r>
          </w:p>
        </w:tc>
        <w:tc>
          <w:tcPr>
            <w:tcW w:w="1008" w:type="dxa"/>
            <w:noWrap/>
            <w:hideMark/>
          </w:tcPr>
          <w:p w14:paraId="78DFD72E"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12</w:t>
            </w:r>
          </w:p>
        </w:tc>
        <w:tc>
          <w:tcPr>
            <w:tcW w:w="1028" w:type="dxa"/>
            <w:noWrap/>
            <w:hideMark/>
          </w:tcPr>
          <w:p w14:paraId="3E4F08FB"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12</w:t>
            </w:r>
          </w:p>
        </w:tc>
        <w:tc>
          <w:tcPr>
            <w:tcW w:w="821" w:type="dxa"/>
            <w:noWrap/>
            <w:hideMark/>
          </w:tcPr>
          <w:p w14:paraId="7918560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0</w:t>
            </w:r>
          </w:p>
        </w:tc>
        <w:tc>
          <w:tcPr>
            <w:tcW w:w="845" w:type="dxa"/>
            <w:noWrap/>
            <w:hideMark/>
          </w:tcPr>
          <w:p w14:paraId="35A94A5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0</w:t>
            </w:r>
          </w:p>
        </w:tc>
      </w:tr>
      <w:tr w:rsidR="002777E4" w:rsidRPr="00C45FE8" w14:paraId="2407B696" w14:textId="77777777" w:rsidTr="00CA3DF5">
        <w:trPr>
          <w:trHeight w:val="288"/>
        </w:trPr>
        <w:tc>
          <w:tcPr>
            <w:tcW w:w="1137" w:type="dxa"/>
            <w:noWrap/>
            <w:hideMark/>
          </w:tcPr>
          <w:p w14:paraId="4C15EE20"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13</w:t>
            </w:r>
          </w:p>
        </w:tc>
        <w:tc>
          <w:tcPr>
            <w:tcW w:w="1790" w:type="dxa"/>
            <w:noWrap/>
            <w:hideMark/>
          </w:tcPr>
          <w:p w14:paraId="005D2C1A"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14</w:t>
            </w:r>
          </w:p>
        </w:tc>
        <w:tc>
          <w:tcPr>
            <w:tcW w:w="2091" w:type="dxa"/>
            <w:noWrap/>
            <w:hideMark/>
          </w:tcPr>
          <w:p w14:paraId="1171993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16</w:t>
            </w:r>
          </w:p>
        </w:tc>
        <w:tc>
          <w:tcPr>
            <w:tcW w:w="1008" w:type="dxa"/>
            <w:noWrap/>
            <w:hideMark/>
          </w:tcPr>
          <w:p w14:paraId="4E0ECC09"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7</w:t>
            </w:r>
          </w:p>
        </w:tc>
        <w:tc>
          <w:tcPr>
            <w:tcW w:w="1028" w:type="dxa"/>
            <w:noWrap/>
            <w:hideMark/>
          </w:tcPr>
          <w:p w14:paraId="28B6584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11</w:t>
            </w:r>
          </w:p>
        </w:tc>
        <w:tc>
          <w:tcPr>
            <w:tcW w:w="821" w:type="dxa"/>
            <w:noWrap/>
            <w:hideMark/>
          </w:tcPr>
          <w:p w14:paraId="76668EFC"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-4</w:t>
            </w:r>
          </w:p>
        </w:tc>
        <w:tc>
          <w:tcPr>
            <w:tcW w:w="845" w:type="dxa"/>
            <w:noWrap/>
            <w:hideMark/>
          </w:tcPr>
          <w:p w14:paraId="578853E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16</w:t>
            </w:r>
          </w:p>
        </w:tc>
      </w:tr>
      <w:tr w:rsidR="002777E4" w:rsidRPr="00C45FE8" w14:paraId="04E26EE2" w14:textId="77777777" w:rsidTr="00CA3DF5">
        <w:trPr>
          <w:trHeight w:val="288"/>
        </w:trPr>
        <w:tc>
          <w:tcPr>
            <w:tcW w:w="1137" w:type="dxa"/>
            <w:noWrap/>
            <w:hideMark/>
          </w:tcPr>
          <w:p w14:paraId="56F46106"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14</w:t>
            </w:r>
          </w:p>
        </w:tc>
        <w:tc>
          <w:tcPr>
            <w:tcW w:w="1790" w:type="dxa"/>
            <w:noWrap/>
            <w:hideMark/>
          </w:tcPr>
          <w:p w14:paraId="783AF66C"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11</w:t>
            </w:r>
          </w:p>
        </w:tc>
        <w:tc>
          <w:tcPr>
            <w:tcW w:w="2091" w:type="dxa"/>
            <w:noWrap/>
            <w:hideMark/>
          </w:tcPr>
          <w:p w14:paraId="090C85DF"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15</w:t>
            </w:r>
          </w:p>
        </w:tc>
        <w:tc>
          <w:tcPr>
            <w:tcW w:w="1008" w:type="dxa"/>
            <w:noWrap/>
            <w:hideMark/>
          </w:tcPr>
          <w:p w14:paraId="40788092"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5</w:t>
            </w:r>
          </w:p>
        </w:tc>
        <w:tc>
          <w:tcPr>
            <w:tcW w:w="1028" w:type="dxa"/>
            <w:noWrap/>
            <w:hideMark/>
          </w:tcPr>
          <w:p w14:paraId="69E94298"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6</w:t>
            </w:r>
          </w:p>
        </w:tc>
        <w:tc>
          <w:tcPr>
            <w:tcW w:w="821" w:type="dxa"/>
            <w:noWrap/>
            <w:hideMark/>
          </w:tcPr>
          <w:p w14:paraId="34ACAE17"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c>
          <w:tcPr>
            <w:tcW w:w="845" w:type="dxa"/>
            <w:noWrap/>
            <w:hideMark/>
          </w:tcPr>
          <w:p w14:paraId="5F9F7F45" w14:textId="77777777" w:rsidR="002777E4" w:rsidRPr="00C45FE8" w:rsidRDefault="002777E4" w:rsidP="00CA3DF5">
            <w:pPr>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w:t>
            </w:r>
          </w:p>
        </w:tc>
      </w:tr>
      <w:tr w:rsidR="002777E4" w:rsidRPr="00C45FE8" w14:paraId="4FCBDB07" w14:textId="77777777" w:rsidTr="00CA3DF5">
        <w:trPr>
          <w:trHeight w:val="288"/>
        </w:trPr>
        <w:tc>
          <w:tcPr>
            <w:tcW w:w="1137" w:type="dxa"/>
            <w:noWrap/>
            <w:hideMark/>
          </w:tcPr>
          <w:p w14:paraId="7DC48E64" w14:textId="77777777" w:rsidR="002777E4" w:rsidRPr="00C45FE8" w:rsidRDefault="002777E4" w:rsidP="00CA3DF5">
            <w:pPr>
              <w:jc w:val="right"/>
              <w:rPr>
                <w:rFonts w:ascii="Calibri" w:eastAsia="Times New Roman" w:hAnsi="Calibri" w:cs="Calibri"/>
                <w:color w:val="000000"/>
                <w:lang w:eastAsia="es-EC"/>
              </w:rPr>
            </w:pPr>
          </w:p>
        </w:tc>
        <w:tc>
          <w:tcPr>
            <w:tcW w:w="1790" w:type="dxa"/>
            <w:noWrap/>
            <w:hideMark/>
          </w:tcPr>
          <w:p w14:paraId="78979EAA" w14:textId="77777777" w:rsidR="002777E4" w:rsidRPr="00C45FE8" w:rsidRDefault="002777E4" w:rsidP="00CA3DF5">
            <w:pPr>
              <w:rPr>
                <w:rFonts w:eastAsia="Times New Roman" w:cs="Times New Roman"/>
                <w:sz w:val="20"/>
                <w:szCs w:val="20"/>
                <w:lang w:eastAsia="es-EC"/>
              </w:rPr>
            </w:pPr>
          </w:p>
        </w:tc>
        <w:tc>
          <w:tcPr>
            <w:tcW w:w="2091" w:type="dxa"/>
            <w:noWrap/>
            <w:hideMark/>
          </w:tcPr>
          <w:p w14:paraId="6BAEE833" w14:textId="77777777" w:rsidR="002777E4" w:rsidRPr="00C45FE8" w:rsidRDefault="002777E4" w:rsidP="00CA3DF5">
            <w:pPr>
              <w:rPr>
                <w:rFonts w:eastAsia="Times New Roman" w:cs="Times New Roman"/>
                <w:sz w:val="20"/>
                <w:szCs w:val="20"/>
                <w:lang w:eastAsia="es-EC"/>
              </w:rPr>
            </w:pPr>
          </w:p>
        </w:tc>
        <w:tc>
          <w:tcPr>
            <w:tcW w:w="1008" w:type="dxa"/>
            <w:noWrap/>
            <w:hideMark/>
          </w:tcPr>
          <w:p w14:paraId="300EE3E4" w14:textId="77777777" w:rsidR="002777E4" w:rsidRPr="00C45FE8" w:rsidRDefault="002777E4" w:rsidP="00CA3DF5">
            <w:pPr>
              <w:rPr>
                <w:rFonts w:eastAsia="Times New Roman" w:cs="Times New Roman"/>
                <w:sz w:val="20"/>
                <w:szCs w:val="20"/>
                <w:lang w:eastAsia="es-EC"/>
              </w:rPr>
            </w:pPr>
          </w:p>
        </w:tc>
        <w:tc>
          <w:tcPr>
            <w:tcW w:w="1028" w:type="dxa"/>
            <w:noWrap/>
            <w:hideMark/>
          </w:tcPr>
          <w:p w14:paraId="464962F1" w14:textId="77777777" w:rsidR="002777E4" w:rsidRPr="00C45FE8" w:rsidRDefault="002777E4" w:rsidP="00CA3DF5">
            <w:pPr>
              <w:rPr>
                <w:rFonts w:eastAsia="Times New Roman" w:cs="Times New Roman"/>
                <w:sz w:val="20"/>
                <w:szCs w:val="20"/>
                <w:lang w:eastAsia="es-EC"/>
              </w:rPr>
            </w:pPr>
          </w:p>
        </w:tc>
        <w:tc>
          <w:tcPr>
            <w:tcW w:w="821" w:type="dxa"/>
            <w:noWrap/>
            <w:hideMark/>
          </w:tcPr>
          <w:p w14:paraId="08658B79" w14:textId="77777777" w:rsidR="002777E4" w:rsidRPr="00C45FE8" w:rsidRDefault="002777E4" w:rsidP="00CA3DF5">
            <w:pPr>
              <w:rPr>
                <w:rFonts w:ascii="Calibri" w:eastAsia="Times New Roman" w:hAnsi="Calibri" w:cs="Calibri"/>
                <w:b/>
                <w:bCs/>
                <w:color w:val="000000"/>
                <w:lang w:eastAsia="es-EC"/>
              </w:rPr>
            </w:pPr>
            <w:r w:rsidRPr="00C45FE8">
              <w:rPr>
                <w:rFonts w:ascii="Calibri" w:eastAsia="Times New Roman" w:hAnsi="Calibri" w:cs="Calibri"/>
                <w:b/>
                <w:bCs/>
                <w:color w:val="000000"/>
                <w:lang w:eastAsia="es-EC"/>
              </w:rPr>
              <w:t>Suma</w:t>
            </w:r>
          </w:p>
        </w:tc>
        <w:tc>
          <w:tcPr>
            <w:tcW w:w="845" w:type="dxa"/>
            <w:noWrap/>
            <w:hideMark/>
          </w:tcPr>
          <w:p w14:paraId="3AA46538" w14:textId="77777777" w:rsidR="002777E4" w:rsidRPr="00C45FE8" w:rsidRDefault="002777E4" w:rsidP="00CA3DF5">
            <w:pPr>
              <w:keepNext/>
              <w:jc w:val="right"/>
              <w:rPr>
                <w:rFonts w:ascii="Calibri" w:eastAsia="Times New Roman" w:hAnsi="Calibri" w:cs="Calibri"/>
                <w:color w:val="000000"/>
                <w:lang w:eastAsia="es-EC"/>
              </w:rPr>
            </w:pPr>
            <w:r w:rsidRPr="00C45FE8">
              <w:rPr>
                <w:rFonts w:ascii="Calibri" w:eastAsia="Times New Roman" w:hAnsi="Calibri" w:cs="Calibri"/>
                <w:color w:val="000000"/>
                <w:lang w:eastAsia="es-EC"/>
              </w:rPr>
              <w:t>134</w:t>
            </w:r>
          </w:p>
        </w:tc>
      </w:tr>
    </w:tbl>
    <w:p w14:paraId="5A9E7289" w14:textId="77777777" w:rsidR="002777E4" w:rsidRDefault="002777E4" w:rsidP="002777E4">
      <w:pPr>
        <w:pStyle w:val="Descripcin"/>
        <w:jc w:val="center"/>
      </w:pPr>
      <w:bookmarkStart w:id="24" w:name="_Toc101281608"/>
      <w:r>
        <w:t xml:space="preserve">Tabla </w:t>
      </w:r>
      <w:r>
        <w:fldChar w:fldCharType="begin"/>
      </w:r>
      <w:r>
        <w:instrText xml:space="preserve"> SEQ Tabla \* ARABIC </w:instrText>
      </w:r>
      <w:r>
        <w:fldChar w:fldCharType="separate"/>
      </w:r>
      <w:r>
        <w:rPr>
          <w:noProof/>
        </w:rPr>
        <w:t>16</w:t>
      </w:r>
      <w:r>
        <w:rPr>
          <w:noProof/>
        </w:rPr>
        <w:fldChar w:fldCharType="end"/>
      </w:r>
      <w:r>
        <w:t>: Asignación de rangos de los datos</w:t>
      </w:r>
      <w:bookmarkEnd w:id="24"/>
    </w:p>
    <w:p w14:paraId="0B9CC731" w14:textId="77777777" w:rsidR="002777E4" w:rsidRPr="001C7A83"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189258FA" w14:textId="77777777" w:rsidR="002777E4" w:rsidRDefault="002777E4" w:rsidP="002777E4">
      <w:r>
        <w:t>Posteriormente, se aplica la fórmula de Spearman ilustrado en la figura 65, donde:</w:t>
      </w:r>
    </w:p>
    <w:p w14:paraId="416C2ECF" w14:textId="77777777" w:rsidR="002777E4" w:rsidRDefault="002777E4" w:rsidP="002777E4">
      <w:proofErr w:type="spellStart"/>
      <w:r>
        <w:t>Rs</w:t>
      </w:r>
      <w:proofErr w:type="spellEnd"/>
      <w:r>
        <w:t xml:space="preserve">= coeficiente de </w:t>
      </w:r>
      <w:proofErr w:type="spellStart"/>
      <w:r>
        <w:t>spearman</w:t>
      </w:r>
      <w:proofErr w:type="spellEnd"/>
    </w:p>
    <w:p w14:paraId="6E4C99AE" w14:textId="77777777" w:rsidR="002777E4" w:rsidRDefault="002777E4" w:rsidP="002777E4">
      <w:pPr>
        <w:rPr>
          <w:rFonts w:ascii="Calibri" w:eastAsia="Times New Roman" w:hAnsi="Calibri" w:cs="Calibri"/>
          <w:b/>
          <w:bCs/>
          <w:color w:val="000000"/>
          <w:sz w:val="22"/>
          <w:lang w:eastAsia="es-EC"/>
        </w:rPr>
      </w:pPr>
      <w:r>
        <w:t xml:space="preserve">D= la suma total </w:t>
      </w:r>
      <w:r w:rsidRPr="00F70160">
        <w:rPr>
          <w:rFonts w:cs="Times New Roman"/>
          <w:szCs w:val="24"/>
        </w:rPr>
        <w:t xml:space="preserve">obtenido de </w:t>
      </w:r>
      <w:r w:rsidRPr="00C45FE8">
        <w:rPr>
          <w:rFonts w:eastAsia="Times New Roman" w:cs="Times New Roman"/>
          <w:color w:val="000000"/>
          <w:szCs w:val="24"/>
          <w:lang w:eastAsia="es-EC"/>
        </w:rPr>
        <w:t>d^2</w:t>
      </w:r>
    </w:p>
    <w:p w14:paraId="0BB0AA4A" w14:textId="77777777" w:rsidR="002777E4" w:rsidRPr="00F70160" w:rsidRDefault="002777E4" w:rsidP="002777E4">
      <w:r w:rsidRPr="00F70160">
        <w:t xml:space="preserve">n= cantidad </w:t>
      </w:r>
      <w:r>
        <w:t>de sujetos que se clasifican</w:t>
      </w:r>
    </w:p>
    <w:p w14:paraId="138198F3" w14:textId="77777777" w:rsidR="002777E4" w:rsidRDefault="002777E4" w:rsidP="002777E4">
      <w:pPr>
        <w:keepNext/>
        <w:jc w:val="center"/>
      </w:pPr>
      <w:r>
        <w:rPr>
          <w:noProof/>
        </w:rPr>
        <w:lastRenderedPageBreak/>
        <w:drawing>
          <wp:inline distT="0" distB="0" distL="0" distR="0" wp14:anchorId="09204B2C" wp14:editId="36F07DB9">
            <wp:extent cx="1648690" cy="898304"/>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3372" cy="906304"/>
                    </a:xfrm>
                    <a:prstGeom prst="rect">
                      <a:avLst/>
                    </a:prstGeom>
                    <a:noFill/>
                    <a:ln>
                      <a:noFill/>
                    </a:ln>
                  </pic:spPr>
                </pic:pic>
              </a:graphicData>
            </a:graphic>
          </wp:inline>
        </w:drawing>
      </w:r>
    </w:p>
    <w:p w14:paraId="6DD5615D" w14:textId="77777777" w:rsidR="002777E4" w:rsidRDefault="002777E4" w:rsidP="002777E4">
      <w:pPr>
        <w:pStyle w:val="Descripcin"/>
        <w:jc w:val="center"/>
      </w:pPr>
      <w:bookmarkStart w:id="25" w:name="_Toc101281592"/>
      <w:r>
        <w:t xml:space="preserve">Figura </w:t>
      </w:r>
      <w:r>
        <w:fldChar w:fldCharType="begin"/>
      </w:r>
      <w:r>
        <w:instrText xml:space="preserve"> SEQ Figura \* ARABIC </w:instrText>
      </w:r>
      <w:r>
        <w:fldChar w:fldCharType="separate"/>
      </w:r>
      <w:r>
        <w:rPr>
          <w:noProof/>
        </w:rPr>
        <w:t>65</w:t>
      </w:r>
      <w:r>
        <w:rPr>
          <w:noProof/>
        </w:rPr>
        <w:fldChar w:fldCharType="end"/>
      </w:r>
      <w:r>
        <w:t>: Fórmula de coeficiente de Spearman</w:t>
      </w:r>
      <w:bookmarkEnd w:id="25"/>
    </w:p>
    <w:p w14:paraId="2E052ABE" w14:textId="77777777" w:rsidR="002777E4" w:rsidRPr="001C7A83"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17457B8A" w14:textId="77777777" w:rsidR="002777E4" w:rsidRDefault="002777E4" w:rsidP="002777E4">
      <w:r>
        <w:t>Entonces:</w:t>
      </w:r>
    </w:p>
    <w:p w14:paraId="5FA11FAB" w14:textId="77777777" w:rsidR="002777E4" w:rsidRDefault="002777E4" w:rsidP="002777E4">
      <w:pPr>
        <w:jc w:val="center"/>
        <w:rPr>
          <w:rFonts w:eastAsiaTheme="minorEastAsia" w:cs="Times New Roman"/>
          <w:sz w:val="28"/>
          <w:szCs w:val="28"/>
        </w:rPr>
      </w:pPr>
      <w:proofErr w:type="spellStart"/>
      <w:r w:rsidRPr="00EA3F99">
        <w:rPr>
          <w:rFonts w:cs="Times New Roman"/>
          <w:sz w:val="28"/>
          <w:szCs w:val="28"/>
        </w:rPr>
        <w:t>Rs</w:t>
      </w:r>
      <w:proofErr w:type="spellEnd"/>
      <w:r w:rsidRPr="00EA3F99">
        <w:rPr>
          <w:rFonts w:cs="Times New Roman"/>
          <w:sz w:val="28"/>
          <w:szCs w:val="28"/>
        </w:rPr>
        <w:t xml:space="preserve">= </w:t>
      </w:r>
      <m:oMath>
        <m:r>
          <w:rPr>
            <w:rFonts w:ascii="Cambria Math" w:hAnsi="Cambria Math" w:cs="Times New Roman"/>
            <w:sz w:val="28"/>
            <w:szCs w:val="28"/>
          </w:rPr>
          <m:t xml:space="preserve">1- </m:t>
        </m:r>
        <m:f>
          <m:fPr>
            <m:ctrlPr>
              <w:rPr>
                <w:rFonts w:ascii="Cambria Math" w:hAnsi="Cambria Math" w:cs="Times New Roman"/>
                <w:i/>
                <w:sz w:val="28"/>
                <w:szCs w:val="28"/>
              </w:rPr>
            </m:ctrlPr>
          </m:fPr>
          <m:num>
            <m:r>
              <w:rPr>
                <w:rFonts w:ascii="Cambria Math" w:hAnsi="Cambria Math" w:cs="Times New Roman"/>
                <w:sz w:val="28"/>
                <w:szCs w:val="28"/>
              </w:rPr>
              <m:t>6</m:t>
            </m:r>
            <m:d>
              <m:dPr>
                <m:ctrlPr>
                  <w:rPr>
                    <w:rFonts w:ascii="Cambria Math" w:hAnsi="Cambria Math" w:cs="Times New Roman"/>
                    <w:i/>
                    <w:sz w:val="28"/>
                    <w:szCs w:val="28"/>
                  </w:rPr>
                </m:ctrlPr>
              </m:dPr>
              <m:e>
                <m:r>
                  <w:rPr>
                    <w:rFonts w:ascii="Cambria Math" w:hAnsi="Cambria Math" w:cs="Times New Roman"/>
                    <w:sz w:val="28"/>
                    <w:szCs w:val="28"/>
                  </w:rPr>
                  <m:t>134</m:t>
                </m:r>
              </m:e>
            </m:d>
          </m:num>
          <m:den>
            <m:r>
              <w:rPr>
                <w:rFonts w:ascii="Cambria Math" w:hAnsi="Cambria Math" w:cs="Times New Roman"/>
                <w:sz w:val="28"/>
                <w:szCs w:val="28"/>
              </w:rPr>
              <m:t xml:space="preserve">14 </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14</m:t>
                    </m:r>
                  </m:e>
                  <m:sup>
                    <m:r>
                      <w:rPr>
                        <w:rFonts w:ascii="Cambria Math" w:hAnsi="Cambria Math" w:cs="Times New Roman"/>
                        <w:sz w:val="28"/>
                        <w:szCs w:val="28"/>
                      </w:rPr>
                      <m:t>2</m:t>
                    </m:r>
                  </m:sup>
                </m:sSup>
                <m:r>
                  <w:rPr>
                    <w:rFonts w:ascii="Cambria Math" w:hAnsi="Cambria Math" w:cs="Times New Roman"/>
                    <w:sz w:val="28"/>
                    <w:szCs w:val="28"/>
                  </w:rPr>
                  <m:t>-1</m:t>
                </m:r>
              </m:e>
            </m:d>
          </m:den>
        </m:f>
        <m:r>
          <w:rPr>
            <w:rFonts w:ascii="Cambria Math" w:hAnsi="Cambria Math" w:cs="Times New Roman"/>
            <w:sz w:val="28"/>
            <w:szCs w:val="28"/>
          </w:rPr>
          <m:t xml:space="preserve">=1- </m:t>
        </m:r>
        <m:f>
          <m:fPr>
            <m:ctrlPr>
              <w:rPr>
                <w:rFonts w:ascii="Cambria Math" w:hAnsi="Cambria Math" w:cs="Times New Roman"/>
                <w:i/>
                <w:sz w:val="28"/>
                <w:szCs w:val="28"/>
              </w:rPr>
            </m:ctrlPr>
          </m:fPr>
          <m:num>
            <m:r>
              <w:rPr>
                <w:rFonts w:ascii="Cambria Math" w:hAnsi="Cambria Math" w:cs="Times New Roman"/>
                <w:sz w:val="28"/>
                <w:szCs w:val="28"/>
              </w:rPr>
              <m:t>804</m:t>
            </m:r>
          </m:num>
          <m:den>
            <m:r>
              <w:rPr>
                <w:rFonts w:ascii="Cambria Math" w:hAnsi="Cambria Math" w:cs="Times New Roman"/>
                <w:sz w:val="28"/>
                <w:szCs w:val="28"/>
              </w:rPr>
              <m:t>2730</m:t>
            </m:r>
          </m:den>
        </m:f>
        <m:r>
          <w:rPr>
            <w:rFonts w:ascii="Cambria Math" w:hAnsi="Cambria Math" w:cs="Times New Roman"/>
            <w:sz w:val="28"/>
            <w:szCs w:val="28"/>
          </w:rPr>
          <m:t>=0.70</m:t>
        </m:r>
      </m:oMath>
    </w:p>
    <w:p w14:paraId="4348C859" w14:textId="77777777" w:rsidR="002777E4" w:rsidRPr="00E03231" w:rsidRDefault="002777E4" w:rsidP="002777E4">
      <w:pPr>
        <w:spacing w:line="360" w:lineRule="auto"/>
        <w:jc w:val="both"/>
      </w:pPr>
      <w:r>
        <w:t>Para verificar el resultado obtenido anteriormente, se utilizó el software SPSS, en la tabla 17 se ilustra el resultado otorgado que fue de 0,895.</w:t>
      </w:r>
    </w:p>
    <w:tbl>
      <w:tblPr>
        <w:tblStyle w:val="Tablaconcuadrcula"/>
        <w:tblW w:w="8897" w:type="dxa"/>
        <w:tblLayout w:type="fixed"/>
        <w:tblLook w:val="0000" w:firstRow="0" w:lastRow="0" w:firstColumn="0" w:lastColumn="0" w:noHBand="0" w:noVBand="0"/>
      </w:tblPr>
      <w:tblGrid>
        <w:gridCol w:w="1242"/>
        <w:gridCol w:w="1985"/>
        <w:gridCol w:w="1701"/>
        <w:gridCol w:w="1984"/>
        <w:gridCol w:w="1985"/>
      </w:tblGrid>
      <w:tr w:rsidR="002777E4" w:rsidRPr="004E7441" w14:paraId="20CB6768" w14:textId="77777777" w:rsidTr="00CA3DF5">
        <w:tc>
          <w:tcPr>
            <w:tcW w:w="8897" w:type="dxa"/>
            <w:gridSpan w:val="5"/>
          </w:tcPr>
          <w:p w14:paraId="5A3AE761" w14:textId="77777777" w:rsidR="002777E4" w:rsidRPr="004E7441" w:rsidRDefault="002777E4" w:rsidP="00CA3DF5">
            <w:pPr>
              <w:rPr>
                <w:szCs w:val="24"/>
              </w:rPr>
            </w:pPr>
            <w:r w:rsidRPr="006108BC">
              <w:t>Correlaciones</w:t>
            </w:r>
          </w:p>
        </w:tc>
      </w:tr>
      <w:tr w:rsidR="002777E4" w:rsidRPr="004E7441" w14:paraId="1F9573E6" w14:textId="77777777" w:rsidTr="00CA3DF5">
        <w:tc>
          <w:tcPr>
            <w:tcW w:w="4928" w:type="dxa"/>
            <w:gridSpan w:val="3"/>
          </w:tcPr>
          <w:p w14:paraId="364ABB3A" w14:textId="77777777" w:rsidR="002777E4" w:rsidRPr="006108BC" w:rsidRDefault="002777E4" w:rsidP="00CA3DF5">
            <w:pPr>
              <w:rPr>
                <w:rFonts w:cs="Times New Roman"/>
              </w:rPr>
            </w:pPr>
          </w:p>
        </w:tc>
        <w:tc>
          <w:tcPr>
            <w:tcW w:w="1984" w:type="dxa"/>
          </w:tcPr>
          <w:p w14:paraId="6BFD6D9E" w14:textId="77777777" w:rsidR="002777E4" w:rsidRPr="006108BC" w:rsidRDefault="002777E4" w:rsidP="00CA3DF5">
            <w:pPr>
              <w:rPr>
                <w:color w:val="264A60"/>
              </w:rPr>
            </w:pPr>
            <w:proofErr w:type="spellStart"/>
            <w:r w:rsidRPr="006108BC">
              <w:rPr>
                <w:color w:val="264A60"/>
              </w:rPr>
              <w:t>DLT_Ejecutados</w:t>
            </w:r>
            <w:proofErr w:type="spellEnd"/>
          </w:p>
        </w:tc>
        <w:tc>
          <w:tcPr>
            <w:tcW w:w="1985" w:type="dxa"/>
          </w:tcPr>
          <w:p w14:paraId="74634686" w14:textId="77777777" w:rsidR="002777E4" w:rsidRPr="006108BC" w:rsidRDefault="002777E4" w:rsidP="00CA3DF5">
            <w:pPr>
              <w:rPr>
                <w:color w:val="264A60"/>
              </w:rPr>
            </w:pPr>
            <w:proofErr w:type="spellStart"/>
            <w:r w:rsidRPr="006108BC">
              <w:rPr>
                <w:color w:val="264A60"/>
              </w:rPr>
              <w:t>Fraudes_estafas_ganados</w:t>
            </w:r>
            <w:proofErr w:type="spellEnd"/>
          </w:p>
        </w:tc>
      </w:tr>
      <w:tr w:rsidR="002777E4" w:rsidRPr="004E7441" w14:paraId="61A4FE38" w14:textId="77777777" w:rsidTr="00CA3DF5">
        <w:tc>
          <w:tcPr>
            <w:tcW w:w="1242" w:type="dxa"/>
            <w:vMerge w:val="restart"/>
          </w:tcPr>
          <w:p w14:paraId="438C03B7" w14:textId="77777777" w:rsidR="002777E4" w:rsidRPr="006108BC" w:rsidRDefault="002777E4" w:rsidP="00CA3DF5">
            <w:pPr>
              <w:rPr>
                <w:color w:val="264A60"/>
              </w:rPr>
            </w:pPr>
            <w:r w:rsidRPr="006108BC">
              <w:rPr>
                <w:color w:val="264A60"/>
              </w:rPr>
              <w:t>Rho de Spearman</w:t>
            </w:r>
          </w:p>
        </w:tc>
        <w:tc>
          <w:tcPr>
            <w:tcW w:w="1985" w:type="dxa"/>
            <w:vMerge w:val="restart"/>
          </w:tcPr>
          <w:p w14:paraId="6D77500E" w14:textId="77777777" w:rsidR="002777E4" w:rsidRPr="006108BC" w:rsidRDefault="002777E4" w:rsidP="00CA3DF5">
            <w:pPr>
              <w:rPr>
                <w:color w:val="264A60"/>
              </w:rPr>
            </w:pPr>
            <w:proofErr w:type="spellStart"/>
            <w:r w:rsidRPr="006108BC">
              <w:rPr>
                <w:color w:val="264A60"/>
              </w:rPr>
              <w:t>DLT_Ejecutados</w:t>
            </w:r>
            <w:proofErr w:type="spellEnd"/>
          </w:p>
        </w:tc>
        <w:tc>
          <w:tcPr>
            <w:tcW w:w="1701" w:type="dxa"/>
          </w:tcPr>
          <w:p w14:paraId="15471B5B" w14:textId="77777777" w:rsidR="002777E4" w:rsidRPr="006108BC" w:rsidRDefault="002777E4" w:rsidP="00CA3DF5">
            <w:pPr>
              <w:rPr>
                <w:color w:val="264A60"/>
              </w:rPr>
            </w:pPr>
            <w:r w:rsidRPr="006108BC">
              <w:rPr>
                <w:color w:val="264A60"/>
              </w:rPr>
              <w:t>Coeficiente de correlación</w:t>
            </w:r>
          </w:p>
        </w:tc>
        <w:tc>
          <w:tcPr>
            <w:tcW w:w="1984" w:type="dxa"/>
          </w:tcPr>
          <w:p w14:paraId="63F125AF" w14:textId="77777777" w:rsidR="002777E4" w:rsidRPr="006108BC" w:rsidRDefault="002777E4" w:rsidP="00CA3DF5">
            <w:r w:rsidRPr="006108BC">
              <w:t>1,000</w:t>
            </w:r>
          </w:p>
        </w:tc>
        <w:tc>
          <w:tcPr>
            <w:tcW w:w="1985" w:type="dxa"/>
          </w:tcPr>
          <w:p w14:paraId="353F8A2F" w14:textId="77777777" w:rsidR="002777E4" w:rsidRPr="006108BC" w:rsidRDefault="002777E4" w:rsidP="00CA3DF5">
            <w:r w:rsidRPr="006108BC">
              <w:t>,895</w:t>
            </w:r>
            <w:r w:rsidRPr="006108BC">
              <w:rPr>
                <w:vertAlign w:val="superscript"/>
              </w:rPr>
              <w:t>**</w:t>
            </w:r>
          </w:p>
        </w:tc>
      </w:tr>
      <w:tr w:rsidR="002777E4" w:rsidRPr="004E7441" w14:paraId="14B9C355" w14:textId="77777777" w:rsidTr="00CA3DF5">
        <w:tc>
          <w:tcPr>
            <w:tcW w:w="1242" w:type="dxa"/>
            <w:vMerge/>
          </w:tcPr>
          <w:p w14:paraId="11B99FAF" w14:textId="77777777" w:rsidR="002777E4" w:rsidRPr="006108BC" w:rsidRDefault="002777E4" w:rsidP="00CA3DF5"/>
        </w:tc>
        <w:tc>
          <w:tcPr>
            <w:tcW w:w="1985" w:type="dxa"/>
            <w:vMerge/>
          </w:tcPr>
          <w:p w14:paraId="192FC149" w14:textId="77777777" w:rsidR="002777E4" w:rsidRPr="006108BC" w:rsidRDefault="002777E4" w:rsidP="00CA3DF5"/>
        </w:tc>
        <w:tc>
          <w:tcPr>
            <w:tcW w:w="1701" w:type="dxa"/>
          </w:tcPr>
          <w:p w14:paraId="5816D6A6" w14:textId="77777777" w:rsidR="002777E4" w:rsidRPr="006108BC" w:rsidRDefault="002777E4" w:rsidP="00CA3DF5">
            <w:pPr>
              <w:rPr>
                <w:color w:val="264A60"/>
              </w:rPr>
            </w:pPr>
            <w:r w:rsidRPr="006108BC">
              <w:rPr>
                <w:color w:val="264A60"/>
              </w:rPr>
              <w:t>Sig. (bilateral)</w:t>
            </w:r>
          </w:p>
        </w:tc>
        <w:tc>
          <w:tcPr>
            <w:tcW w:w="1984" w:type="dxa"/>
          </w:tcPr>
          <w:p w14:paraId="7F3582EE" w14:textId="77777777" w:rsidR="002777E4" w:rsidRPr="006108BC" w:rsidRDefault="002777E4" w:rsidP="00CA3DF5">
            <w:r w:rsidRPr="006108BC">
              <w:t>.</w:t>
            </w:r>
          </w:p>
        </w:tc>
        <w:tc>
          <w:tcPr>
            <w:tcW w:w="1985" w:type="dxa"/>
          </w:tcPr>
          <w:p w14:paraId="42ECE27E" w14:textId="77777777" w:rsidR="002777E4" w:rsidRPr="006108BC" w:rsidRDefault="002777E4" w:rsidP="00CA3DF5">
            <w:r w:rsidRPr="006108BC">
              <w:t>,000</w:t>
            </w:r>
          </w:p>
        </w:tc>
      </w:tr>
      <w:tr w:rsidR="002777E4" w:rsidRPr="004E7441" w14:paraId="76524EE3" w14:textId="77777777" w:rsidTr="00CA3DF5">
        <w:tc>
          <w:tcPr>
            <w:tcW w:w="1242" w:type="dxa"/>
            <w:vMerge/>
          </w:tcPr>
          <w:p w14:paraId="35875943" w14:textId="77777777" w:rsidR="002777E4" w:rsidRPr="006108BC" w:rsidRDefault="002777E4" w:rsidP="00CA3DF5"/>
        </w:tc>
        <w:tc>
          <w:tcPr>
            <w:tcW w:w="1985" w:type="dxa"/>
            <w:vMerge/>
          </w:tcPr>
          <w:p w14:paraId="247840D3" w14:textId="77777777" w:rsidR="002777E4" w:rsidRPr="006108BC" w:rsidRDefault="002777E4" w:rsidP="00CA3DF5"/>
        </w:tc>
        <w:tc>
          <w:tcPr>
            <w:tcW w:w="1701" w:type="dxa"/>
          </w:tcPr>
          <w:p w14:paraId="345B9E31" w14:textId="77777777" w:rsidR="002777E4" w:rsidRPr="006108BC" w:rsidRDefault="002777E4" w:rsidP="00CA3DF5">
            <w:pPr>
              <w:rPr>
                <w:color w:val="264A60"/>
              </w:rPr>
            </w:pPr>
            <w:r w:rsidRPr="006108BC">
              <w:rPr>
                <w:color w:val="264A60"/>
              </w:rPr>
              <w:t>N</w:t>
            </w:r>
          </w:p>
        </w:tc>
        <w:tc>
          <w:tcPr>
            <w:tcW w:w="1984" w:type="dxa"/>
          </w:tcPr>
          <w:p w14:paraId="39D098D7" w14:textId="77777777" w:rsidR="002777E4" w:rsidRPr="006108BC" w:rsidRDefault="002777E4" w:rsidP="00CA3DF5">
            <w:r w:rsidRPr="006108BC">
              <w:t>14</w:t>
            </w:r>
          </w:p>
        </w:tc>
        <w:tc>
          <w:tcPr>
            <w:tcW w:w="1985" w:type="dxa"/>
          </w:tcPr>
          <w:p w14:paraId="12843E2F" w14:textId="77777777" w:rsidR="002777E4" w:rsidRPr="006108BC" w:rsidRDefault="002777E4" w:rsidP="00CA3DF5">
            <w:r w:rsidRPr="006108BC">
              <w:t>14</w:t>
            </w:r>
          </w:p>
        </w:tc>
      </w:tr>
      <w:tr w:rsidR="002777E4" w:rsidRPr="004E7441" w14:paraId="63FEDF54" w14:textId="77777777" w:rsidTr="00CA3DF5">
        <w:tc>
          <w:tcPr>
            <w:tcW w:w="1242" w:type="dxa"/>
            <w:vMerge/>
          </w:tcPr>
          <w:p w14:paraId="4EA9550C" w14:textId="77777777" w:rsidR="002777E4" w:rsidRPr="006108BC" w:rsidRDefault="002777E4" w:rsidP="00CA3DF5"/>
        </w:tc>
        <w:tc>
          <w:tcPr>
            <w:tcW w:w="1985" w:type="dxa"/>
            <w:vMerge w:val="restart"/>
          </w:tcPr>
          <w:p w14:paraId="51308D7E" w14:textId="77777777" w:rsidR="002777E4" w:rsidRPr="006108BC" w:rsidRDefault="002777E4" w:rsidP="00CA3DF5">
            <w:pPr>
              <w:rPr>
                <w:color w:val="264A60"/>
              </w:rPr>
            </w:pPr>
            <w:proofErr w:type="spellStart"/>
            <w:r w:rsidRPr="006108BC">
              <w:rPr>
                <w:color w:val="264A60"/>
              </w:rPr>
              <w:t>Fraudes_estafas_ganados</w:t>
            </w:r>
            <w:proofErr w:type="spellEnd"/>
          </w:p>
        </w:tc>
        <w:tc>
          <w:tcPr>
            <w:tcW w:w="1701" w:type="dxa"/>
          </w:tcPr>
          <w:p w14:paraId="4EB0F656" w14:textId="77777777" w:rsidR="002777E4" w:rsidRPr="006108BC" w:rsidRDefault="002777E4" w:rsidP="00CA3DF5">
            <w:pPr>
              <w:rPr>
                <w:color w:val="264A60"/>
              </w:rPr>
            </w:pPr>
            <w:r w:rsidRPr="006108BC">
              <w:rPr>
                <w:color w:val="264A60"/>
              </w:rPr>
              <w:t>Coeficiente de correlación</w:t>
            </w:r>
          </w:p>
        </w:tc>
        <w:tc>
          <w:tcPr>
            <w:tcW w:w="1984" w:type="dxa"/>
          </w:tcPr>
          <w:p w14:paraId="75E719BB" w14:textId="77777777" w:rsidR="002777E4" w:rsidRPr="006108BC" w:rsidRDefault="002777E4" w:rsidP="00CA3DF5">
            <w:r w:rsidRPr="006108BC">
              <w:t>,895</w:t>
            </w:r>
            <w:r w:rsidRPr="006108BC">
              <w:rPr>
                <w:vertAlign w:val="superscript"/>
              </w:rPr>
              <w:t>**</w:t>
            </w:r>
          </w:p>
        </w:tc>
        <w:tc>
          <w:tcPr>
            <w:tcW w:w="1985" w:type="dxa"/>
          </w:tcPr>
          <w:p w14:paraId="3DD308A1" w14:textId="77777777" w:rsidR="002777E4" w:rsidRPr="006108BC" w:rsidRDefault="002777E4" w:rsidP="00CA3DF5">
            <w:r w:rsidRPr="006108BC">
              <w:t>1,000</w:t>
            </w:r>
          </w:p>
        </w:tc>
      </w:tr>
      <w:tr w:rsidR="002777E4" w:rsidRPr="004E7441" w14:paraId="52015C45" w14:textId="77777777" w:rsidTr="00CA3DF5">
        <w:tc>
          <w:tcPr>
            <w:tcW w:w="1242" w:type="dxa"/>
            <w:vMerge/>
          </w:tcPr>
          <w:p w14:paraId="43CA875C" w14:textId="77777777" w:rsidR="002777E4" w:rsidRPr="006108BC" w:rsidRDefault="002777E4" w:rsidP="00CA3DF5"/>
        </w:tc>
        <w:tc>
          <w:tcPr>
            <w:tcW w:w="1985" w:type="dxa"/>
            <w:vMerge/>
          </w:tcPr>
          <w:p w14:paraId="4BB7B933" w14:textId="77777777" w:rsidR="002777E4" w:rsidRPr="006108BC" w:rsidRDefault="002777E4" w:rsidP="00CA3DF5"/>
        </w:tc>
        <w:tc>
          <w:tcPr>
            <w:tcW w:w="1701" w:type="dxa"/>
          </w:tcPr>
          <w:p w14:paraId="6248BF21" w14:textId="77777777" w:rsidR="002777E4" w:rsidRPr="006108BC" w:rsidRDefault="002777E4" w:rsidP="00CA3DF5">
            <w:pPr>
              <w:rPr>
                <w:color w:val="264A60"/>
              </w:rPr>
            </w:pPr>
            <w:r w:rsidRPr="006108BC">
              <w:rPr>
                <w:color w:val="264A60"/>
              </w:rPr>
              <w:t>Sig. (bilateral)</w:t>
            </w:r>
          </w:p>
        </w:tc>
        <w:tc>
          <w:tcPr>
            <w:tcW w:w="1984" w:type="dxa"/>
          </w:tcPr>
          <w:p w14:paraId="1BD93A85" w14:textId="77777777" w:rsidR="002777E4" w:rsidRPr="006108BC" w:rsidRDefault="002777E4" w:rsidP="00CA3DF5">
            <w:r w:rsidRPr="006108BC">
              <w:t>,000</w:t>
            </w:r>
          </w:p>
        </w:tc>
        <w:tc>
          <w:tcPr>
            <w:tcW w:w="1985" w:type="dxa"/>
          </w:tcPr>
          <w:p w14:paraId="77A6B882" w14:textId="77777777" w:rsidR="002777E4" w:rsidRPr="006108BC" w:rsidRDefault="002777E4" w:rsidP="00CA3DF5">
            <w:r w:rsidRPr="006108BC">
              <w:t>.</w:t>
            </w:r>
          </w:p>
        </w:tc>
      </w:tr>
      <w:tr w:rsidR="002777E4" w:rsidRPr="004E7441" w14:paraId="3420CD03" w14:textId="77777777" w:rsidTr="00CA3DF5">
        <w:tc>
          <w:tcPr>
            <w:tcW w:w="1242" w:type="dxa"/>
            <w:vMerge/>
          </w:tcPr>
          <w:p w14:paraId="193DA573" w14:textId="77777777" w:rsidR="002777E4" w:rsidRPr="006108BC" w:rsidRDefault="002777E4" w:rsidP="00CA3DF5"/>
        </w:tc>
        <w:tc>
          <w:tcPr>
            <w:tcW w:w="1985" w:type="dxa"/>
            <w:vMerge/>
          </w:tcPr>
          <w:p w14:paraId="6D00F335" w14:textId="77777777" w:rsidR="002777E4" w:rsidRPr="006108BC" w:rsidRDefault="002777E4" w:rsidP="00CA3DF5"/>
        </w:tc>
        <w:tc>
          <w:tcPr>
            <w:tcW w:w="1701" w:type="dxa"/>
          </w:tcPr>
          <w:p w14:paraId="587F2E91" w14:textId="77777777" w:rsidR="002777E4" w:rsidRPr="006108BC" w:rsidRDefault="002777E4" w:rsidP="00CA3DF5">
            <w:pPr>
              <w:rPr>
                <w:color w:val="264A60"/>
              </w:rPr>
            </w:pPr>
            <w:r w:rsidRPr="006108BC">
              <w:rPr>
                <w:color w:val="264A60"/>
              </w:rPr>
              <w:t>N</w:t>
            </w:r>
          </w:p>
        </w:tc>
        <w:tc>
          <w:tcPr>
            <w:tcW w:w="1984" w:type="dxa"/>
          </w:tcPr>
          <w:p w14:paraId="222A4353" w14:textId="77777777" w:rsidR="002777E4" w:rsidRPr="006108BC" w:rsidRDefault="002777E4" w:rsidP="00CA3DF5">
            <w:r w:rsidRPr="006108BC">
              <w:t>14</w:t>
            </w:r>
          </w:p>
        </w:tc>
        <w:tc>
          <w:tcPr>
            <w:tcW w:w="1985" w:type="dxa"/>
          </w:tcPr>
          <w:p w14:paraId="4A65880A" w14:textId="77777777" w:rsidR="002777E4" w:rsidRPr="006108BC" w:rsidRDefault="002777E4" w:rsidP="00CA3DF5">
            <w:r w:rsidRPr="006108BC">
              <w:t>14</w:t>
            </w:r>
          </w:p>
        </w:tc>
      </w:tr>
      <w:tr w:rsidR="002777E4" w:rsidRPr="004E7441" w14:paraId="7F057D09" w14:textId="77777777" w:rsidTr="00CA3DF5">
        <w:tc>
          <w:tcPr>
            <w:tcW w:w="8897" w:type="dxa"/>
            <w:gridSpan w:val="5"/>
          </w:tcPr>
          <w:p w14:paraId="6965BCB6" w14:textId="77777777" w:rsidR="002777E4" w:rsidRPr="006108BC" w:rsidRDefault="002777E4" w:rsidP="00CA3DF5">
            <w:pPr>
              <w:keepNext/>
            </w:pPr>
            <w:r w:rsidRPr="006108BC">
              <w:t>**. La correlación es significativa en el nivel 0,01 (bilateral).</w:t>
            </w:r>
          </w:p>
        </w:tc>
      </w:tr>
    </w:tbl>
    <w:p w14:paraId="109ACA31" w14:textId="77777777" w:rsidR="002777E4" w:rsidRDefault="002777E4" w:rsidP="002777E4">
      <w:pPr>
        <w:pStyle w:val="Descripcin"/>
        <w:jc w:val="center"/>
        <w:rPr>
          <w:i w:val="0"/>
          <w:iCs w:val="0"/>
          <w:sz w:val="20"/>
          <w:szCs w:val="20"/>
        </w:rPr>
      </w:pPr>
      <w:bookmarkStart w:id="26" w:name="_Toc101281609"/>
      <w:r>
        <w:t xml:space="preserve">Tabla </w:t>
      </w:r>
      <w:r>
        <w:fldChar w:fldCharType="begin"/>
      </w:r>
      <w:r>
        <w:instrText xml:space="preserve"> SEQ Tabla \* ARABIC </w:instrText>
      </w:r>
      <w:r>
        <w:fldChar w:fldCharType="separate"/>
      </w:r>
      <w:r>
        <w:rPr>
          <w:noProof/>
        </w:rPr>
        <w:t>17</w:t>
      </w:r>
      <w:r>
        <w:rPr>
          <w:noProof/>
        </w:rPr>
        <w:fldChar w:fldCharType="end"/>
      </w:r>
      <w:r>
        <w:t xml:space="preserve">: </w:t>
      </w:r>
      <w:r w:rsidRPr="00504998">
        <w:t>Correlación de Spearman en SPSS</w:t>
      </w:r>
      <w:bookmarkEnd w:id="26"/>
    </w:p>
    <w:p w14:paraId="1D4B8076" w14:textId="77777777" w:rsidR="002777E4" w:rsidRPr="003A2089" w:rsidRDefault="002777E4" w:rsidP="002777E4">
      <w:pPr>
        <w:jc w:val="center"/>
        <w:rPr>
          <w:i/>
          <w:iCs/>
          <w:sz w:val="20"/>
          <w:szCs w:val="20"/>
        </w:rPr>
      </w:pPr>
      <w:r w:rsidRPr="006D3D85">
        <w:rPr>
          <w:i/>
          <w:iCs/>
          <w:sz w:val="20"/>
          <w:szCs w:val="20"/>
        </w:rPr>
        <w:t>Fuente:</w:t>
      </w:r>
      <w:r>
        <w:rPr>
          <w:i/>
          <w:iCs/>
          <w:sz w:val="20"/>
          <w:szCs w:val="20"/>
        </w:rPr>
        <w:t xml:space="preserve"> Elaboración propia</w:t>
      </w:r>
    </w:p>
    <w:p w14:paraId="748BED5B" w14:textId="77777777" w:rsidR="002777E4" w:rsidRDefault="002777E4" w:rsidP="002777E4">
      <w:pPr>
        <w:spacing w:line="360" w:lineRule="auto"/>
        <w:jc w:val="both"/>
      </w:pPr>
      <w:r>
        <w:t xml:space="preserve">Debido a que el valor calculado de </w:t>
      </w:r>
      <w:proofErr w:type="spellStart"/>
      <w:r>
        <w:t>rs</w:t>
      </w:r>
      <w:proofErr w:type="spellEnd"/>
      <w:r>
        <w:t xml:space="preserve"> en Excel es igual a 0.70 y en SPSS fue de 0.89 se concluye que existe una correlación positiva considerable, por tal motivo mientras más se implemente los DLT en procesos financieros, también aumentarán la cantidad de disputas ganadas por fraudes o estafas de primera persona en pagos realizados en aplicaciones Fintech.</w:t>
      </w:r>
    </w:p>
    <w:p w14:paraId="371DA8A1" w14:textId="77777777" w:rsidR="002777E4" w:rsidRDefault="002777E4" w:rsidP="002777E4">
      <w:pPr>
        <w:pStyle w:val="Sinespaciado"/>
        <w:numPr>
          <w:ilvl w:val="2"/>
          <w:numId w:val="41"/>
        </w:numPr>
        <w:spacing w:line="360" w:lineRule="auto"/>
      </w:pPr>
      <w:bookmarkStart w:id="27" w:name="_Toc101281511"/>
      <w:r>
        <w:t>Mediciones de rendimiento y pruebas de carga</w:t>
      </w:r>
      <w:r w:rsidRPr="004C0986">
        <w:t>.</w:t>
      </w:r>
      <w:bookmarkEnd w:id="27"/>
    </w:p>
    <w:p w14:paraId="07DB09F9" w14:textId="77777777" w:rsidR="002777E4" w:rsidRDefault="002777E4" w:rsidP="002777E4">
      <w:pPr>
        <w:spacing w:line="360" w:lineRule="auto"/>
        <w:jc w:val="both"/>
      </w:pPr>
      <w:r>
        <w:t xml:space="preserve">Para la medición del rendimiento y pruebas de carga se utilizó una computadora con las características mostradas en la tabla 18 donde se realizaron los envíos de datos transaccionales a través de </w:t>
      </w:r>
      <w:proofErr w:type="spellStart"/>
      <w:r>
        <w:t>Postman</w:t>
      </w:r>
      <w:proofErr w:type="spellEnd"/>
      <w:r>
        <w:t xml:space="preserve"> simulando una cantidad de 1000 usuarios conectados al mismo tiempo. La captura de información se lo realizó con </w:t>
      </w:r>
      <w:proofErr w:type="spellStart"/>
      <w:r>
        <w:t>JMeter</w:t>
      </w:r>
      <w:proofErr w:type="spellEnd"/>
      <w:r>
        <w:t xml:space="preserve"> y se determinó que existe una alta transaccionalidad debido a que se ejecutaron exitosamente todos los microservicios de Google Cloud con DLT, en la tabla 19 se ilustra el resultado obteniendo </w:t>
      </w:r>
      <w:r>
        <w:lastRenderedPageBreak/>
        <w:t xml:space="preserve">un tiempo de diferencia entre ejecución de microservicios de 860. a 1500 ms, un tiempo promedio de ejecución total de los microservicios de 1300 s, un tiempo promedio de 3520 ms en la ejecución de los </w:t>
      </w:r>
      <w:proofErr w:type="spellStart"/>
      <w:r>
        <w:t>smart</w:t>
      </w:r>
      <w:proofErr w:type="spellEnd"/>
      <w:r>
        <w:t xml:space="preserve"> </w:t>
      </w:r>
      <w:proofErr w:type="spellStart"/>
      <w:r>
        <w:t>contracts</w:t>
      </w:r>
      <w:proofErr w:type="spellEnd"/>
      <w:r>
        <w:t xml:space="preserve"> y un tiempo promedio de 20526.5 ms en el almacenamiento de las transacciones en IOTA.</w:t>
      </w:r>
    </w:p>
    <w:tbl>
      <w:tblPr>
        <w:tblStyle w:val="Tablaconcuadrcula"/>
        <w:tblW w:w="0" w:type="auto"/>
        <w:jc w:val="center"/>
        <w:tblLook w:val="04A0" w:firstRow="1" w:lastRow="0" w:firstColumn="1" w:lastColumn="0" w:noHBand="0" w:noVBand="1"/>
      </w:tblPr>
      <w:tblGrid>
        <w:gridCol w:w="2457"/>
        <w:gridCol w:w="3305"/>
      </w:tblGrid>
      <w:tr w:rsidR="002777E4" w14:paraId="42E9DBFF" w14:textId="77777777" w:rsidTr="00CA3DF5">
        <w:trPr>
          <w:jc w:val="center"/>
        </w:trPr>
        <w:tc>
          <w:tcPr>
            <w:tcW w:w="2457" w:type="dxa"/>
          </w:tcPr>
          <w:p w14:paraId="791A54FE" w14:textId="77777777" w:rsidR="002777E4" w:rsidRDefault="002777E4" w:rsidP="00CA3DF5">
            <w:pPr>
              <w:spacing w:line="360" w:lineRule="auto"/>
              <w:jc w:val="both"/>
            </w:pPr>
            <w:r>
              <w:t>CPU</w:t>
            </w:r>
          </w:p>
        </w:tc>
        <w:tc>
          <w:tcPr>
            <w:tcW w:w="3305" w:type="dxa"/>
          </w:tcPr>
          <w:p w14:paraId="023B95AE" w14:textId="77777777" w:rsidR="002777E4" w:rsidRDefault="002777E4" w:rsidP="00CA3DF5">
            <w:pPr>
              <w:spacing w:line="360" w:lineRule="auto"/>
              <w:jc w:val="both"/>
            </w:pPr>
            <w:r>
              <w:t xml:space="preserve">AMD Ryzen 7 3200 2.30 </w:t>
            </w:r>
            <w:proofErr w:type="spellStart"/>
            <w:r>
              <w:t>Ghz</w:t>
            </w:r>
            <w:proofErr w:type="spellEnd"/>
          </w:p>
        </w:tc>
      </w:tr>
      <w:tr w:rsidR="002777E4" w14:paraId="18C1DAB5" w14:textId="77777777" w:rsidTr="00CA3DF5">
        <w:trPr>
          <w:jc w:val="center"/>
        </w:trPr>
        <w:tc>
          <w:tcPr>
            <w:tcW w:w="2457" w:type="dxa"/>
          </w:tcPr>
          <w:p w14:paraId="20A9B0CA" w14:textId="77777777" w:rsidR="002777E4" w:rsidRDefault="002777E4" w:rsidP="00CA3DF5">
            <w:pPr>
              <w:spacing w:line="360" w:lineRule="auto"/>
              <w:jc w:val="both"/>
            </w:pPr>
            <w:r>
              <w:t>RAM</w:t>
            </w:r>
          </w:p>
        </w:tc>
        <w:tc>
          <w:tcPr>
            <w:tcW w:w="3305" w:type="dxa"/>
          </w:tcPr>
          <w:p w14:paraId="28EFF61F" w14:textId="77777777" w:rsidR="002777E4" w:rsidRDefault="002777E4" w:rsidP="00CA3DF5">
            <w:pPr>
              <w:spacing w:line="360" w:lineRule="auto"/>
              <w:jc w:val="both"/>
            </w:pPr>
            <w:r>
              <w:t>16 GB</w:t>
            </w:r>
          </w:p>
        </w:tc>
      </w:tr>
      <w:tr w:rsidR="002777E4" w14:paraId="5196D69E" w14:textId="77777777" w:rsidTr="00CA3DF5">
        <w:trPr>
          <w:jc w:val="center"/>
        </w:trPr>
        <w:tc>
          <w:tcPr>
            <w:tcW w:w="2457" w:type="dxa"/>
          </w:tcPr>
          <w:p w14:paraId="5FF00441" w14:textId="77777777" w:rsidR="002777E4" w:rsidRDefault="002777E4" w:rsidP="00CA3DF5">
            <w:pPr>
              <w:spacing w:line="360" w:lineRule="auto"/>
              <w:jc w:val="both"/>
            </w:pPr>
            <w:r>
              <w:t>Sistema operativo</w:t>
            </w:r>
          </w:p>
        </w:tc>
        <w:tc>
          <w:tcPr>
            <w:tcW w:w="3305" w:type="dxa"/>
          </w:tcPr>
          <w:p w14:paraId="15E01BCA" w14:textId="77777777" w:rsidR="002777E4" w:rsidRDefault="002777E4" w:rsidP="00CA3DF5">
            <w:pPr>
              <w:keepNext/>
              <w:spacing w:line="360" w:lineRule="auto"/>
              <w:jc w:val="both"/>
            </w:pPr>
            <w:r>
              <w:t>Windows 11</w:t>
            </w:r>
          </w:p>
        </w:tc>
      </w:tr>
    </w:tbl>
    <w:p w14:paraId="22B45B1E" w14:textId="77777777" w:rsidR="002777E4" w:rsidRDefault="002777E4" w:rsidP="002777E4">
      <w:pPr>
        <w:pStyle w:val="Descripcin"/>
        <w:jc w:val="center"/>
      </w:pPr>
      <w:bookmarkStart w:id="28" w:name="_Toc101281610"/>
      <w:r>
        <w:t xml:space="preserve">Tabla </w:t>
      </w:r>
      <w:r>
        <w:fldChar w:fldCharType="begin"/>
      </w:r>
      <w:r>
        <w:instrText xml:space="preserve"> SEQ Tabla \* ARABIC </w:instrText>
      </w:r>
      <w:r>
        <w:fldChar w:fldCharType="separate"/>
      </w:r>
      <w:r>
        <w:rPr>
          <w:noProof/>
        </w:rPr>
        <w:t>18</w:t>
      </w:r>
      <w:r>
        <w:rPr>
          <w:noProof/>
        </w:rPr>
        <w:fldChar w:fldCharType="end"/>
      </w:r>
      <w:r>
        <w:t>: Características del equipo para las pruebas de rendimiento y carga</w:t>
      </w:r>
      <w:bookmarkEnd w:id="28"/>
    </w:p>
    <w:p w14:paraId="7C186111" w14:textId="77777777" w:rsidR="002777E4" w:rsidRDefault="002777E4" w:rsidP="002777E4">
      <w:pPr>
        <w:jc w:val="center"/>
        <w:rPr>
          <w:i/>
          <w:iCs/>
          <w:sz w:val="20"/>
          <w:szCs w:val="20"/>
        </w:rPr>
      </w:pPr>
      <w:r w:rsidRPr="006D3D85">
        <w:rPr>
          <w:i/>
          <w:iCs/>
          <w:sz w:val="20"/>
          <w:szCs w:val="20"/>
        </w:rPr>
        <w:t>Fuente:</w:t>
      </w:r>
      <w:r>
        <w:rPr>
          <w:i/>
          <w:iCs/>
          <w:sz w:val="20"/>
          <w:szCs w:val="20"/>
        </w:rPr>
        <w:t xml:space="preserve"> Elaboración propia</w:t>
      </w:r>
    </w:p>
    <w:tbl>
      <w:tblPr>
        <w:tblStyle w:val="Tablaconcuadrcula"/>
        <w:tblW w:w="0" w:type="auto"/>
        <w:jc w:val="center"/>
        <w:tblLook w:val="04A0" w:firstRow="1" w:lastRow="0" w:firstColumn="1" w:lastColumn="0" w:noHBand="0" w:noVBand="1"/>
      </w:tblPr>
      <w:tblGrid>
        <w:gridCol w:w="4016"/>
        <w:gridCol w:w="1746"/>
      </w:tblGrid>
      <w:tr w:rsidR="002777E4" w14:paraId="0AF4E81F" w14:textId="77777777" w:rsidTr="00CA3DF5">
        <w:trPr>
          <w:jc w:val="center"/>
        </w:trPr>
        <w:tc>
          <w:tcPr>
            <w:tcW w:w="4016" w:type="dxa"/>
          </w:tcPr>
          <w:p w14:paraId="4E50BAD7" w14:textId="77777777" w:rsidR="002777E4" w:rsidRDefault="002777E4" w:rsidP="00CA3DF5">
            <w:pPr>
              <w:spacing w:line="360" w:lineRule="auto"/>
              <w:jc w:val="both"/>
            </w:pPr>
            <w:r>
              <w:t>Tiempo de ejecución entre microservicios</w:t>
            </w:r>
          </w:p>
        </w:tc>
        <w:tc>
          <w:tcPr>
            <w:tcW w:w="1746" w:type="dxa"/>
          </w:tcPr>
          <w:p w14:paraId="0A1CB914" w14:textId="77777777" w:rsidR="002777E4" w:rsidRDefault="002777E4" w:rsidP="00CA3DF5">
            <w:pPr>
              <w:spacing w:line="360" w:lineRule="auto"/>
              <w:jc w:val="center"/>
            </w:pPr>
            <w:r>
              <w:t>60. a 1500 ms</w:t>
            </w:r>
          </w:p>
        </w:tc>
      </w:tr>
      <w:tr w:rsidR="002777E4" w14:paraId="5C19C379" w14:textId="77777777" w:rsidTr="00CA3DF5">
        <w:trPr>
          <w:jc w:val="center"/>
        </w:trPr>
        <w:tc>
          <w:tcPr>
            <w:tcW w:w="4016" w:type="dxa"/>
          </w:tcPr>
          <w:p w14:paraId="7079950C" w14:textId="77777777" w:rsidR="002777E4" w:rsidRDefault="002777E4" w:rsidP="00CA3DF5">
            <w:pPr>
              <w:spacing w:line="360" w:lineRule="auto"/>
              <w:jc w:val="both"/>
            </w:pPr>
            <w:r>
              <w:t>Tiempo promedio de ejecución total de los microservicios</w:t>
            </w:r>
          </w:p>
        </w:tc>
        <w:tc>
          <w:tcPr>
            <w:tcW w:w="1746" w:type="dxa"/>
          </w:tcPr>
          <w:p w14:paraId="0357D883" w14:textId="77777777" w:rsidR="002777E4" w:rsidRDefault="002777E4" w:rsidP="00CA3DF5">
            <w:pPr>
              <w:spacing w:line="360" w:lineRule="auto"/>
              <w:jc w:val="center"/>
            </w:pPr>
            <w:r>
              <w:t>1300 s</w:t>
            </w:r>
          </w:p>
        </w:tc>
      </w:tr>
      <w:tr w:rsidR="002777E4" w14:paraId="75BE6AFA" w14:textId="77777777" w:rsidTr="00CA3DF5">
        <w:trPr>
          <w:jc w:val="center"/>
        </w:trPr>
        <w:tc>
          <w:tcPr>
            <w:tcW w:w="4016" w:type="dxa"/>
          </w:tcPr>
          <w:p w14:paraId="636CE766" w14:textId="77777777" w:rsidR="002777E4" w:rsidRDefault="002777E4" w:rsidP="00CA3DF5">
            <w:pPr>
              <w:spacing w:line="360" w:lineRule="auto"/>
              <w:jc w:val="both"/>
            </w:pPr>
            <w:r>
              <w:t xml:space="preserve">Tiempo promedio de ejecución de los </w:t>
            </w:r>
            <w:proofErr w:type="spellStart"/>
            <w:r>
              <w:t>smart</w:t>
            </w:r>
            <w:proofErr w:type="spellEnd"/>
            <w:r>
              <w:t xml:space="preserve"> </w:t>
            </w:r>
            <w:proofErr w:type="spellStart"/>
            <w:r>
              <w:t>contracts</w:t>
            </w:r>
            <w:proofErr w:type="spellEnd"/>
          </w:p>
        </w:tc>
        <w:tc>
          <w:tcPr>
            <w:tcW w:w="1746" w:type="dxa"/>
          </w:tcPr>
          <w:p w14:paraId="63F62A37" w14:textId="77777777" w:rsidR="002777E4" w:rsidRDefault="002777E4" w:rsidP="00CA3DF5">
            <w:pPr>
              <w:keepNext/>
              <w:spacing w:line="360" w:lineRule="auto"/>
              <w:jc w:val="center"/>
            </w:pPr>
            <w:r>
              <w:t>3520 ms</w:t>
            </w:r>
          </w:p>
        </w:tc>
      </w:tr>
      <w:tr w:rsidR="002777E4" w14:paraId="2C6DAB02" w14:textId="77777777" w:rsidTr="00CA3DF5">
        <w:trPr>
          <w:jc w:val="center"/>
        </w:trPr>
        <w:tc>
          <w:tcPr>
            <w:tcW w:w="4016" w:type="dxa"/>
          </w:tcPr>
          <w:p w14:paraId="251AE159" w14:textId="77777777" w:rsidR="002777E4" w:rsidRDefault="002777E4" w:rsidP="00CA3DF5">
            <w:pPr>
              <w:spacing w:line="360" w:lineRule="auto"/>
              <w:jc w:val="both"/>
            </w:pPr>
            <w:r>
              <w:t>Tiempo promedio en el almacenamiento de las transacciones en IOTA</w:t>
            </w:r>
          </w:p>
        </w:tc>
        <w:tc>
          <w:tcPr>
            <w:tcW w:w="1746" w:type="dxa"/>
          </w:tcPr>
          <w:p w14:paraId="1343D5CC" w14:textId="77777777" w:rsidR="002777E4" w:rsidRDefault="002777E4" w:rsidP="00CA3DF5">
            <w:pPr>
              <w:keepNext/>
              <w:spacing w:line="360" w:lineRule="auto"/>
              <w:jc w:val="center"/>
            </w:pPr>
            <w:r>
              <w:t>20526.5 ms</w:t>
            </w:r>
          </w:p>
        </w:tc>
      </w:tr>
    </w:tbl>
    <w:p w14:paraId="0646328A" w14:textId="77777777" w:rsidR="002777E4" w:rsidRDefault="002777E4" w:rsidP="002777E4">
      <w:pPr>
        <w:pStyle w:val="Descripcin"/>
        <w:jc w:val="center"/>
      </w:pPr>
      <w:bookmarkStart w:id="29" w:name="_Toc101281611"/>
      <w:r>
        <w:t xml:space="preserve">Tabla </w:t>
      </w:r>
      <w:r>
        <w:fldChar w:fldCharType="begin"/>
      </w:r>
      <w:r>
        <w:instrText xml:space="preserve"> SEQ Tabla \* ARABIC </w:instrText>
      </w:r>
      <w:r>
        <w:fldChar w:fldCharType="separate"/>
      </w:r>
      <w:r>
        <w:rPr>
          <w:noProof/>
        </w:rPr>
        <w:t>19</w:t>
      </w:r>
      <w:r>
        <w:rPr>
          <w:noProof/>
        </w:rPr>
        <w:fldChar w:fldCharType="end"/>
      </w:r>
      <w:r>
        <w:t>: Tiempos de ejecución</w:t>
      </w:r>
      <w:bookmarkEnd w:id="29"/>
    </w:p>
    <w:p w14:paraId="4E0D7E32" w14:textId="77777777" w:rsidR="002777E4" w:rsidRPr="00CE2002" w:rsidRDefault="002777E4" w:rsidP="002777E4">
      <w:pPr>
        <w:jc w:val="center"/>
        <w:rPr>
          <w:i/>
          <w:iCs/>
          <w:sz w:val="20"/>
          <w:szCs w:val="20"/>
        </w:rPr>
      </w:pPr>
      <w:r w:rsidRPr="006D3D85">
        <w:rPr>
          <w:i/>
          <w:iCs/>
          <w:sz w:val="20"/>
          <w:szCs w:val="20"/>
        </w:rPr>
        <w:t>Fuente:</w:t>
      </w:r>
      <w:r>
        <w:rPr>
          <w:i/>
          <w:iCs/>
          <w:sz w:val="20"/>
          <w:szCs w:val="20"/>
        </w:rPr>
        <w:t xml:space="preserve"> Elaboración propia</w:t>
      </w:r>
    </w:p>
    <w:bookmarkEnd w:id="1"/>
    <w:p w14:paraId="1D972B7A" w14:textId="77777777" w:rsidR="009B1AD2" w:rsidRPr="009B1AD2" w:rsidRDefault="009B1AD2" w:rsidP="009B1AD2">
      <w:pPr>
        <w:pStyle w:val="Ttulo1"/>
        <w:rPr>
          <w:lang w:eastAsia="es-EC"/>
        </w:rPr>
      </w:pPr>
    </w:p>
    <w:sectPr w:rsidR="009B1AD2" w:rsidRPr="009B1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el">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8C0"/>
    <w:multiLevelType w:val="multilevel"/>
    <w:tmpl w:val="6B36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213A5"/>
    <w:multiLevelType w:val="hybridMultilevel"/>
    <w:tmpl w:val="483EE64A"/>
    <w:lvl w:ilvl="0" w:tplc="82406B42">
      <w:numFmt w:val="bullet"/>
      <w:lvlText w:val="-"/>
      <w:lvlJc w:val="left"/>
      <w:pPr>
        <w:ind w:left="720" w:hanging="360"/>
      </w:pPr>
      <w:rPr>
        <w:rFonts w:ascii="Times New Roman" w:eastAsia="Abel" w:hAnsi="Times New Roman" w:cs="Times New Roman"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71E27A1"/>
    <w:multiLevelType w:val="hybridMultilevel"/>
    <w:tmpl w:val="EBC815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E93101"/>
    <w:multiLevelType w:val="hybridMultilevel"/>
    <w:tmpl w:val="7B7A7E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0B7B0DAB"/>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BA559D9"/>
    <w:multiLevelType w:val="hybridMultilevel"/>
    <w:tmpl w:val="31A4BF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0C607450"/>
    <w:multiLevelType w:val="hybridMultilevel"/>
    <w:tmpl w:val="F8627A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0EB327A1"/>
    <w:multiLevelType w:val="multilevel"/>
    <w:tmpl w:val="267E2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1D8F3498"/>
    <w:multiLevelType w:val="multilevel"/>
    <w:tmpl w:val="DDFA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AF64F9"/>
    <w:multiLevelType w:val="hybridMultilevel"/>
    <w:tmpl w:val="FE6E7C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202F5D8F"/>
    <w:multiLevelType w:val="multilevel"/>
    <w:tmpl w:val="14905FC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0E23AFA"/>
    <w:multiLevelType w:val="hybridMultilevel"/>
    <w:tmpl w:val="02C6A1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22181CCE"/>
    <w:multiLevelType w:val="hybridMultilevel"/>
    <w:tmpl w:val="94EEE6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84178D7"/>
    <w:multiLevelType w:val="multilevel"/>
    <w:tmpl w:val="4D9A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6F6F9E"/>
    <w:multiLevelType w:val="hybridMultilevel"/>
    <w:tmpl w:val="2C3420A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2A611746"/>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A9E1F48"/>
    <w:multiLevelType w:val="multilevel"/>
    <w:tmpl w:val="14905F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47C2A30"/>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abstractNum w:abstractNumId="22" w15:restartNumberingAfterBreak="0">
    <w:nsid w:val="4491403D"/>
    <w:multiLevelType w:val="multilevel"/>
    <w:tmpl w:val="6BE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5FD4F9D"/>
    <w:multiLevelType w:val="multilevel"/>
    <w:tmpl w:val="EC4602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8B75691"/>
    <w:multiLevelType w:val="multilevel"/>
    <w:tmpl w:val="88849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00D4D"/>
    <w:multiLevelType w:val="hybridMultilevel"/>
    <w:tmpl w:val="F64431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1BA2596"/>
    <w:multiLevelType w:val="multilevel"/>
    <w:tmpl w:val="441C376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1FD159C"/>
    <w:multiLevelType w:val="hybridMultilevel"/>
    <w:tmpl w:val="AEB02CF4"/>
    <w:lvl w:ilvl="0" w:tplc="D12CFBF6">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87A0275"/>
    <w:multiLevelType w:val="multilevel"/>
    <w:tmpl w:val="441C37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3EE5CE9"/>
    <w:multiLevelType w:val="hybridMultilevel"/>
    <w:tmpl w:val="22AEC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67295762"/>
    <w:multiLevelType w:val="multilevel"/>
    <w:tmpl w:val="20C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711569"/>
    <w:multiLevelType w:val="hybridMultilevel"/>
    <w:tmpl w:val="7CBCE05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6E2A1485"/>
    <w:multiLevelType w:val="multilevel"/>
    <w:tmpl w:val="A96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910E3"/>
    <w:multiLevelType w:val="multilevel"/>
    <w:tmpl w:val="185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EF5305"/>
    <w:multiLevelType w:val="hybridMultilevel"/>
    <w:tmpl w:val="6AEEA8D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2463C24"/>
    <w:multiLevelType w:val="hybridMultilevel"/>
    <w:tmpl w:val="8D22FBE0"/>
    <w:lvl w:ilvl="0" w:tplc="8D847C5E">
      <w:start w:val="5"/>
      <w:numFmt w:val="bullet"/>
      <w:lvlText w:val=""/>
      <w:lvlJc w:val="left"/>
      <w:pPr>
        <w:ind w:left="720" w:hanging="360"/>
      </w:pPr>
      <w:rPr>
        <w:rFonts w:ascii="Wingdings" w:eastAsiaTheme="minorHAnsi" w:hAnsi="Wingdings"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15:restartNumberingAfterBreak="0">
    <w:nsid w:val="72D1097B"/>
    <w:multiLevelType w:val="multilevel"/>
    <w:tmpl w:val="D2E0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4B283F"/>
    <w:multiLevelType w:val="multilevel"/>
    <w:tmpl w:val="6EA2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951F1"/>
    <w:multiLevelType w:val="multilevel"/>
    <w:tmpl w:val="A4FAA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E666960"/>
    <w:multiLevelType w:val="hybridMultilevel"/>
    <w:tmpl w:val="C9E86E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44450628">
    <w:abstractNumId w:val="9"/>
  </w:num>
  <w:num w:numId="2" w16cid:durableId="365176255">
    <w:abstractNumId w:val="30"/>
  </w:num>
  <w:num w:numId="3" w16cid:durableId="1355686690">
    <w:abstractNumId w:val="29"/>
  </w:num>
  <w:num w:numId="4" w16cid:durableId="268852535">
    <w:abstractNumId w:val="10"/>
  </w:num>
  <w:num w:numId="5" w16cid:durableId="1303080823">
    <w:abstractNumId w:val="8"/>
  </w:num>
  <w:num w:numId="6" w16cid:durableId="92364211">
    <w:abstractNumId w:val="39"/>
  </w:num>
  <w:num w:numId="7" w16cid:durableId="1660692894">
    <w:abstractNumId w:val="23"/>
  </w:num>
  <w:num w:numId="8" w16cid:durableId="984548218">
    <w:abstractNumId w:val="34"/>
  </w:num>
  <w:num w:numId="9" w16cid:durableId="238712318">
    <w:abstractNumId w:val="17"/>
  </w:num>
  <w:num w:numId="10" w16cid:durableId="1457678693">
    <w:abstractNumId w:val="40"/>
  </w:num>
  <w:num w:numId="11" w16cid:durableId="158082841">
    <w:abstractNumId w:val="35"/>
  </w:num>
  <w:num w:numId="12" w16cid:durableId="640113777">
    <w:abstractNumId w:val="16"/>
  </w:num>
  <w:num w:numId="13" w16cid:durableId="750735620">
    <w:abstractNumId w:val="25"/>
  </w:num>
  <w:num w:numId="14" w16cid:durableId="1265841318">
    <w:abstractNumId w:val="7"/>
  </w:num>
  <w:num w:numId="15" w16cid:durableId="8025933">
    <w:abstractNumId w:val="41"/>
  </w:num>
  <w:num w:numId="16" w16cid:durableId="188689684">
    <w:abstractNumId w:val="0"/>
  </w:num>
  <w:num w:numId="17" w16cid:durableId="339818193">
    <w:abstractNumId w:val="36"/>
  </w:num>
  <w:num w:numId="18" w16cid:durableId="968432467">
    <w:abstractNumId w:val="33"/>
  </w:num>
  <w:num w:numId="19" w16cid:durableId="2117631864">
    <w:abstractNumId w:val="22"/>
  </w:num>
  <w:num w:numId="20" w16cid:durableId="1738163966">
    <w:abstractNumId w:val="11"/>
  </w:num>
  <w:num w:numId="21" w16cid:durableId="909996837">
    <w:abstractNumId w:val="5"/>
  </w:num>
  <w:num w:numId="22" w16cid:durableId="612127846">
    <w:abstractNumId w:val="26"/>
  </w:num>
  <w:num w:numId="23" w16cid:durableId="44719060">
    <w:abstractNumId w:val="3"/>
  </w:num>
  <w:num w:numId="24" w16cid:durableId="430197630">
    <w:abstractNumId w:val="15"/>
  </w:num>
  <w:num w:numId="25" w16cid:durableId="1390416907">
    <w:abstractNumId w:val="42"/>
  </w:num>
  <w:num w:numId="26" w16cid:durableId="684404907">
    <w:abstractNumId w:val="4"/>
  </w:num>
  <w:num w:numId="27" w16cid:durableId="1371566130">
    <w:abstractNumId w:val="32"/>
  </w:num>
  <w:num w:numId="28" w16cid:durableId="2119986172">
    <w:abstractNumId w:val="19"/>
  </w:num>
  <w:num w:numId="29" w16cid:durableId="1998268707">
    <w:abstractNumId w:val="13"/>
  </w:num>
  <w:num w:numId="30" w16cid:durableId="1891651388">
    <w:abstractNumId w:val="24"/>
  </w:num>
  <w:num w:numId="31" w16cid:durableId="1895308015">
    <w:abstractNumId w:val="20"/>
  </w:num>
  <w:num w:numId="32" w16cid:durableId="1754619057">
    <w:abstractNumId w:val="31"/>
  </w:num>
  <w:num w:numId="33" w16cid:durableId="849488804">
    <w:abstractNumId w:val="18"/>
  </w:num>
  <w:num w:numId="34" w16cid:durableId="1968778110">
    <w:abstractNumId w:val="37"/>
  </w:num>
  <w:num w:numId="35" w16cid:durableId="867791544">
    <w:abstractNumId w:val="21"/>
  </w:num>
  <w:num w:numId="36" w16cid:durableId="991568475">
    <w:abstractNumId w:val="6"/>
  </w:num>
  <w:num w:numId="37" w16cid:durableId="841511637">
    <w:abstractNumId w:val="28"/>
  </w:num>
  <w:num w:numId="38" w16cid:durableId="655956184">
    <w:abstractNumId w:val="38"/>
  </w:num>
  <w:num w:numId="39" w16cid:durableId="1504660845">
    <w:abstractNumId w:val="1"/>
  </w:num>
  <w:num w:numId="40" w16cid:durableId="553811136">
    <w:abstractNumId w:val="12"/>
  </w:num>
  <w:num w:numId="41" w16cid:durableId="709913067">
    <w:abstractNumId w:val="27"/>
  </w:num>
  <w:num w:numId="42" w16cid:durableId="679234653">
    <w:abstractNumId w:val="2"/>
  </w:num>
  <w:num w:numId="43" w16cid:durableId="1504125287">
    <w:abstractNumId w:val="43"/>
  </w:num>
  <w:num w:numId="44" w16cid:durableId="8295616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49"/>
    <w:rsid w:val="00055B78"/>
    <w:rsid w:val="000855A1"/>
    <w:rsid w:val="000D52BB"/>
    <w:rsid w:val="001225B7"/>
    <w:rsid w:val="00193945"/>
    <w:rsid w:val="001C0558"/>
    <w:rsid w:val="002447A2"/>
    <w:rsid w:val="002523DD"/>
    <w:rsid w:val="002734F7"/>
    <w:rsid w:val="002777E4"/>
    <w:rsid w:val="002D4AFE"/>
    <w:rsid w:val="002F1244"/>
    <w:rsid w:val="003451C9"/>
    <w:rsid w:val="0036190F"/>
    <w:rsid w:val="00366448"/>
    <w:rsid w:val="003D4539"/>
    <w:rsid w:val="003F581A"/>
    <w:rsid w:val="004867F0"/>
    <w:rsid w:val="004A56F2"/>
    <w:rsid w:val="004B6DB6"/>
    <w:rsid w:val="0057039D"/>
    <w:rsid w:val="005F0D4E"/>
    <w:rsid w:val="005F5531"/>
    <w:rsid w:val="006C47D3"/>
    <w:rsid w:val="006F072A"/>
    <w:rsid w:val="007867EF"/>
    <w:rsid w:val="0081129E"/>
    <w:rsid w:val="008209EC"/>
    <w:rsid w:val="008329C1"/>
    <w:rsid w:val="00876F1E"/>
    <w:rsid w:val="00885FB6"/>
    <w:rsid w:val="0089376D"/>
    <w:rsid w:val="008E171B"/>
    <w:rsid w:val="00906409"/>
    <w:rsid w:val="00925849"/>
    <w:rsid w:val="009B1AD2"/>
    <w:rsid w:val="009B1C71"/>
    <w:rsid w:val="00A7094E"/>
    <w:rsid w:val="00A82B3B"/>
    <w:rsid w:val="00AB0CB9"/>
    <w:rsid w:val="00BD5B6A"/>
    <w:rsid w:val="00C13F6D"/>
    <w:rsid w:val="00CB6E4E"/>
    <w:rsid w:val="00CE2BF2"/>
    <w:rsid w:val="00CE4BA6"/>
    <w:rsid w:val="00D34AE8"/>
    <w:rsid w:val="00DA51ED"/>
    <w:rsid w:val="00E03A5B"/>
    <w:rsid w:val="00E66B69"/>
    <w:rsid w:val="00EA4051"/>
    <w:rsid w:val="00EC652F"/>
    <w:rsid w:val="00EE4EC5"/>
    <w:rsid w:val="00F00645"/>
    <w:rsid w:val="00F44A30"/>
    <w:rsid w:val="00F812EA"/>
    <w:rsid w:val="00FB233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983A6"/>
  <w15:chartTrackingRefBased/>
  <w15:docId w15:val="{212D5423-1692-4546-AF1A-E34E8F6B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72A"/>
    <w:rPr>
      <w:rFonts w:ascii="Times New Roman" w:hAnsi="Times New Roman"/>
      <w:sz w:val="24"/>
    </w:rPr>
  </w:style>
  <w:style w:type="paragraph" w:styleId="Ttulo1">
    <w:name w:val="heading 1"/>
    <w:aliases w:val="Título_3"/>
    <w:basedOn w:val="Normal"/>
    <w:next w:val="Normal"/>
    <w:link w:val="Ttulo1Car"/>
    <w:uiPriority w:val="9"/>
    <w:qFormat/>
    <w:rsid w:val="006F07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81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072A"/>
    <w:pPr>
      <w:spacing w:before="100" w:beforeAutospacing="1" w:after="100" w:afterAutospacing="1" w:line="240" w:lineRule="auto"/>
    </w:pPr>
    <w:rPr>
      <w:rFonts w:eastAsia="Times New Roman" w:cs="Times New Roman"/>
      <w:szCs w:val="24"/>
      <w:lang w:eastAsia="es-EC"/>
    </w:rPr>
  </w:style>
  <w:style w:type="paragraph" w:customStyle="1" w:styleId="TTTTtulo">
    <w:name w:val="TTT: Título"/>
    <w:basedOn w:val="Ttulo1"/>
    <w:next w:val="Ttulo1"/>
    <w:link w:val="TTTTtuloCar"/>
    <w:qFormat/>
    <w:rsid w:val="006F072A"/>
    <w:pPr>
      <w:spacing w:before="360" w:after="240"/>
      <w:jc w:val="center"/>
    </w:pPr>
    <w:rPr>
      <w:rFonts w:ascii="Times New Roman" w:hAnsi="Times New Roman" w:cs="Times New Roman"/>
      <w:b/>
      <w:color w:val="000000" w:themeColor="text1"/>
      <w:sz w:val="24"/>
      <w:szCs w:val="20"/>
      <w:lang w:eastAsia="es-EC"/>
    </w:rPr>
  </w:style>
  <w:style w:type="character" w:customStyle="1" w:styleId="TTTTtuloCar">
    <w:name w:val="TTT: Título Car"/>
    <w:basedOn w:val="Fuentedeprrafopredeter"/>
    <w:link w:val="TTTTtulo"/>
    <w:rsid w:val="006F072A"/>
    <w:rPr>
      <w:rFonts w:ascii="Times New Roman" w:eastAsiaTheme="majorEastAsia" w:hAnsi="Times New Roman" w:cs="Times New Roman"/>
      <w:b/>
      <w:color w:val="000000" w:themeColor="text1"/>
      <w:sz w:val="24"/>
      <w:szCs w:val="20"/>
      <w:lang w:eastAsia="es-EC"/>
    </w:rPr>
  </w:style>
  <w:style w:type="character" w:customStyle="1" w:styleId="Ttulo1Car">
    <w:name w:val="Título 1 Car"/>
    <w:aliases w:val="Título_3 Car"/>
    <w:basedOn w:val="Fuentedeprrafopredeter"/>
    <w:link w:val="Ttulo1"/>
    <w:uiPriority w:val="9"/>
    <w:rsid w:val="006F072A"/>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6F072A"/>
  </w:style>
  <w:style w:type="paragraph" w:styleId="Sinespaciado">
    <w:name w:val="No Spacing"/>
    <w:aliases w:val="titulo 2"/>
    <w:basedOn w:val="Ttulo2"/>
    <w:next w:val="Ttulo2"/>
    <w:uiPriority w:val="1"/>
    <w:qFormat/>
    <w:rsid w:val="00F812EA"/>
    <w:pPr>
      <w:spacing w:before="120" w:after="120" w:line="240" w:lineRule="auto"/>
    </w:pPr>
    <w:rPr>
      <w:rFonts w:ascii="Times New Roman" w:hAnsi="Times New Roman"/>
      <w:b/>
      <w:color w:val="auto"/>
      <w:sz w:val="24"/>
    </w:rPr>
  </w:style>
  <w:style w:type="paragraph" w:styleId="Descripcin">
    <w:name w:val="caption"/>
    <w:basedOn w:val="Normal"/>
    <w:next w:val="Normal"/>
    <w:uiPriority w:val="35"/>
    <w:unhideWhenUsed/>
    <w:qFormat/>
    <w:rsid w:val="00F812EA"/>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F812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193945"/>
    <w:rPr>
      <w:rFonts w:asciiTheme="majorHAnsi" w:eastAsiaTheme="majorEastAsia" w:hAnsiTheme="majorHAnsi" w:cstheme="majorBidi"/>
      <w:color w:val="1F3763" w:themeColor="accent1" w:themeShade="7F"/>
      <w:sz w:val="24"/>
      <w:szCs w:val="24"/>
    </w:rPr>
  </w:style>
  <w:style w:type="paragraph" w:customStyle="1" w:styleId="Default">
    <w:name w:val="Default"/>
    <w:rsid w:val="00193945"/>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193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193945"/>
    <w:rPr>
      <w:rFonts w:ascii="Courier New" w:eastAsia="Times New Roman" w:hAnsi="Courier New" w:cs="Courier New"/>
      <w:sz w:val="20"/>
      <w:szCs w:val="20"/>
      <w:lang w:eastAsia="es-EC"/>
    </w:rPr>
  </w:style>
  <w:style w:type="character" w:customStyle="1" w:styleId="y2iqfc">
    <w:name w:val="y2iqfc"/>
    <w:basedOn w:val="Fuentedeprrafopredeter"/>
    <w:rsid w:val="00193945"/>
  </w:style>
  <w:style w:type="paragraph" w:styleId="Encabezado">
    <w:name w:val="header"/>
    <w:basedOn w:val="Normal"/>
    <w:link w:val="EncabezadoCar"/>
    <w:uiPriority w:val="99"/>
    <w:unhideWhenUsed/>
    <w:rsid w:val="001939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93945"/>
    <w:rPr>
      <w:rFonts w:ascii="Times New Roman" w:hAnsi="Times New Roman"/>
      <w:sz w:val="24"/>
    </w:rPr>
  </w:style>
  <w:style w:type="paragraph" w:styleId="Piedepgina">
    <w:name w:val="footer"/>
    <w:basedOn w:val="Normal"/>
    <w:link w:val="PiedepginaCar"/>
    <w:uiPriority w:val="99"/>
    <w:unhideWhenUsed/>
    <w:rsid w:val="001939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93945"/>
    <w:rPr>
      <w:rFonts w:ascii="Times New Roman" w:hAnsi="Times New Roman"/>
      <w:sz w:val="24"/>
    </w:rPr>
  </w:style>
  <w:style w:type="character" w:styleId="Textoennegrita">
    <w:name w:val="Strong"/>
    <w:basedOn w:val="Fuentedeprrafopredeter"/>
    <w:uiPriority w:val="22"/>
    <w:qFormat/>
    <w:rsid w:val="00193945"/>
    <w:rPr>
      <w:b/>
      <w:bCs/>
    </w:rPr>
  </w:style>
  <w:style w:type="character" w:styleId="Hipervnculo">
    <w:name w:val="Hyperlink"/>
    <w:basedOn w:val="Fuentedeprrafopredeter"/>
    <w:uiPriority w:val="99"/>
    <w:unhideWhenUsed/>
    <w:rsid w:val="00193945"/>
    <w:rPr>
      <w:color w:val="0000FF"/>
      <w:u w:val="single"/>
    </w:rPr>
  </w:style>
  <w:style w:type="character" w:styleId="Refdecomentario">
    <w:name w:val="annotation reference"/>
    <w:basedOn w:val="Fuentedeprrafopredeter"/>
    <w:uiPriority w:val="99"/>
    <w:semiHidden/>
    <w:unhideWhenUsed/>
    <w:rsid w:val="00193945"/>
    <w:rPr>
      <w:sz w:val="16"/>
      <w:szCs w:val="16"/>
    </w:rPr>
  </w:style>
  <w:style w:type="paragraph" w:styleId="Textocomentario">
    <w:name w:val="annotation text"/>
    <w:basedOn w:val="Normal"/>
    <w:link w:val="TextocomentarioCar"/>
    <w:uiPriority w:val="99"/>
    <w:semiHidden/>
    <w:unhideWhenUsed/>
    <w:rsid w:val="00193945"/>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193945"/>
    <w:rPr>
      <w:rFonts w:ascii="Book Antiqua" w:hAnsi="Book Antiqua"/>
      <w:sz w:val="20"/>
      <w:szCs w:val="20"/>
    </w:rPr>
  </w:style>
  <w:style w:type="paragraph" w:styleId="Prrafodelista">
    <w:name w:val="List Paragraph"/>
    <w:basedOn w:val="Normal"/>
    <w:uiPriority w:val="34"/>
    <w:qFormat/>
    <w:rsid w:val="00193945"/>
    <w:pPr>
      <w:ind w:left="720"/>
      <w:contextualSpacing/>
    </w:pPr>
  </w:style>
  <w:style w:type="paragraph" w:styleId="TtuloTDC">
    <w:name w:val="TOC Heading"/>
    <w:basedOn w:val="Ttulo1"/>
    <w:next w:val="Normal"/>
    <w:uiPriority w:val="39"/>
    <w:unhideWhenUsed/>
    <w:qFormat/>
    <w:rsid w:val="00193945"/>
    <w:pPr>
      <w:spacing w:before="360" w:after="120"/>
      <w:outlineLvl w:val="9"/>
    </w:pPr>
    <w:rPr>
      <w:rFonts w:ascii="Times New Roman" w:hAnsi="Times New Roman"/>
      <w:b/>
      <w:color w:val="auto"/>
      <w:sz w:val="24"/>
      <w:lang w:eastAsia="es-EC"/>
    </w:rPr>
  </w:style>
  <w:style w:type="paragraph" w:styleId="TDC1">
    <w:name w:val="toc 1"/>
    <w:basedOn w:val="Normal"/>
    <w:next w:val="Normal"/>
    <w:autoRedefine/>
    <w:uiPriority w:val="39"/>
    <w:unhideWhenUsed/>
    <w:rsid w:val="00193945"/>
    <w:pPr>
      <w:tabs>
        <w:tab w:val="left" w:pos="1134"/>
        <w:tab w:val="right" w:leader="dot" w:pos="8494"/>
      </w:tabs>
      <w:spacing w:after="100" w:line="360" w:lineRule="auto"/>
      <w:ind w:left="426" w:hanging="426"/>
    </w:pPr>
  </w:style>
  <w:style w:type="paragraph" w:styleId="TDC2">
    <w:name w:val="toc 2"/>
    <w:basedOn w:val="Normal"/>
    <w:next w:val="Normal"/>
    <w:autoRedefine/>
    <w:uiPriority w:val="39"/>
    <w:unhideWhenUsed/>
    <w:rsid w:val="00193945"/>
    <w:pPr>
      <w:spacing w:after="100"/>
      <w:ind w:left="240"/>
    </w:pPr>
  </w:style>
  <w:style w:type="character" w:styleId="nfasis">
    <w:name w:val="Emphasis"/>
    <w:basedOn w:val="Fuentedeprrafopredeter"/>
    <w:uiPriority w:val="20"/>
    <w:qFormat/>
    <w:rsid w:val="00193945"/>
    <w:rPr>
      <w:i/>
      <w:iCs/>
    </w:rPr>
  </w:style>
  <w:style w:type="character" w:customStyle="1" w:styleId="a">
    <w:name w:val="_"/>
    <w:basedOn w:val="Fuentedeprrafopredeter"/>
    <w:rsid w:val="00193945"/>
  </w:style>
  <w:style w:type="paragraph" w:styleId="Tabladeilustraciones">
    <w:name w:val="table of figures"/>
    <w:basedOn w:val="Normal"/>
    <w:next w:val="Normal"/>
    <w:uiPriority w:val="99"/>
    <w:unhideWhenUsed/>
    <w:rsid w:val="00193945"/>
    <w:pPr>
      <w:spacing w:after="0"/>
    </w:pPr>
  </w:style>
  <w:style w:type="table" w:styleId="Tablaconcuadrcula">
    <w:name w:val="Table Grid"/>
    <w:basedOn w:val="Tablanormal"/>
    <w:uiPriority w:val="39"/>
    <w:rsid w:val="00193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1939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19394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suntodelcomentario">
    <w:name w:val="annotation subject"/>
    <w:basedOn w:val="Textocomentario"/>
    <w:next w:val="Textocomentario"/>
    <w:link w:val="AsuntodelcomentarioCar"/>
    <w:uiPriority w:val="99"/>
    <w:semiHidden/>
    <w:unhideWhenUsed/>
    <w:rsid w:val="00193945"/>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193945"/>
    <w:rPr>
      <w:rFonts w:ascii="Times New Roman" w:hAnsi="Times New Roman"/>
      <w:b/>
      <w:bCs/>
      <w:sz w:val="20"/>
      <w:szCs w:val="20"/>
    </w:rPr>
  </w:style>
  <w:style w:type="character" w:styleId="Textodelmarcadordeposicin">
    <w:name w:val="Placeholder Text"/>
    <w:basedOn w:val="Fuentedeprrafopredeter"/>
    <w:uiPriority w:val="99"/>
    <w:semiHidden/>
    <w:rsid w:val="00193945"/>
    <w:rPr>
      <w:color w:val="808080"/>
    </w:rPr>
  </w:style>
  <w:style w:type="character" w:customStyle="1" w:styleId="title-text">
    <w:name w:val="title-text"/>
    <w:basedOn w:val="Fuentedeprrafopredeter"/>
    <w:rsid w:val="00193945"/>
  </w:style>
  <w:style w:type="table" w:styleId="Tablaconcuadrcula1clara">
    <w:name w:val="Grid Table 1 Light"/>
    <w:basedOn w:val="Tablanormal"/>
    <w:uiPriority w:val="46"/>
    <w:rsid w:val="001939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193945"/>
    <w:pPr>
      <w:spacing w:after="100"/>
      <w:ind w:left="440"/>
    </w:pPr>
    <w:rPr>
      <w:rFonts w:asciiTheme="minorHAnsi" w:eastAsiaTheme="minorEastAsia" w:hAnsiTheme="minorHAnsi"/>
      <w:sz w:val="22"/>
      <w:lang w:eastAsia="es-EC"/>
    </w:rPr>
  </w:style>
  <w:style w:type="paragraph" w:styleId="TDC4">
    <w:name w:val="toc 4"/>
    <w:basedOn w:val="Normal"/>
    <w:next w:val="Normal"/>
    <w:autoRedefine/>
    <w:uiPriority w:val="39"/>
    <w:unhideWhenUsed/>
    <w:rsid w:val="00193945"/>
    <w:pPr>
      <w:spacing w:after="100"/>
      <w:ind w:left="660"/>
    </w:pPr>
    <w:rPr>
      <w:rFonts w:asciiTheme="minorHAnsi" w:eastAsiaTheme="minorEastAsia" w:hAnsiTheme="minorHAnsi"/>
      <w:sz w:val="22"/>
      <w:lang w:eastAsia="es-EC"/>
    </w:rPr>
  </w:style>
  <w:style w:type="paragraph" w:styleId="TDC5">
    <w:name w:val="toc 5"/>
    <w:basedOn w:val="Normal"/>
    <w:next w:val="Normal"/>
    <w:autoRedefine/>
    <w:uiPriority w:val="39"/>
    <w:unhideWhenUsed/>
    <w:rsid w:val="00193945"/>
    <w:pPr>
      <w:spacing w:after="100"/>
      <w:ind w:left="880"/>
    </w:pPr>
    <w:rPr>
      <w:rFonts w:asciiTheme="minorHAnsi" w:eastAsiaTheme="minorEastAsia" w:hAnsiTheme="minorHAnsi"/>
      <w:sz w:val="22"/>
      <w:lang w:eastAsia="es-EC"/>
    </w:rPr>
  </w:style>
  <w:style w:type="paragraph" w:styleId="TDC6">
    <w:name w:val="toc 6"/>
    <w:basedOn w:val="Normal"/>
    <w:next w:val="Normal"/>
    <w:autoRedefine/>
    <w:uiPriority w:val="39"/>
    <w:unhideWhenUsed/>
    <w:rsid w:val="00193945"/>
    <w:pPr>
      <w:spacing w:after="100"/>
      <w:ind w:left="1100"/>
    </w:pPr>
    <w:rPr>
      <w:rFonts w:asciiTheme="minorHAnsi" w:eastAsiaTheme="minorEastAsia" w:hAnsiTheme="minorHAnsi"/>
      <w:sz w:val="22"/>
      <w:lang w:eastAsia="es-EC"/>
    </w:rPr>
  </w:style>
  <w:style w:type="paragraph" w:styleId="TDC7">
    <w:name w:val="toc 7"/>
    <w:basedOn w:val="Normal"/>
    <w:next w:val="Normal"/>
    <w:autoRedefine/>
    <w:uiPriority w:val="39"/>
    <w:unhideWhenUsed/>
    <w:rsid w:val="00193945"/>
    <w:pPr>
      <w:spacing w:after="100"/>
      <w:ind w:left="1320"/>
    </w:pPr>
    <w:rPr>
      <w:rFonts w:asciiTheme="minorHAnsi" w:eastAsiaTheme="minorEastAsia" w:hAnsiTheme="minorHAnsi"/>
      <w:sz w:val="22"/>
      <w:lang w:eastAsia="es-EC"/>
    </w:rPr>
  </w:style>
  <w:style w:type="paragraph" w:styleId="TDC8">
    <w:name w:val="toc 8"/>
    <w:basedOn w:val="Normal"/>
    <w:next w:val="Normal"/>
    <w:autoRedefine/>
    <w:uiPriority w:val="39"/>
    <w:unhideWhenUsed/>
    <w:rsid w:val="00193945"/>
    <w:pPr>
      <w:spacing w:after="100"/>
      <w:ind w:left="1540"/>
    </w:pPr>
    <w:rPr>
      <w:rFonts w:asciiTheme="minorHAnsi" w:eastAsiaTheme="minorEastAsia" w:hAnsiTheme="minorHAnsi"/>
      <w:sz w:val="22"/>
      <w:lang w:eastAsia="es-EC"/>
    </w:rPr>
  </w:style>
  <w:style w:type="paragraph" w:styleId="TDC9">
    <w:name w:val="toc 9"/>
    <w:basedOn w:val="Normal"/>
    <w:next w:val="Normal"/>
    <w:autoRedefine/>
    <w:uiPriority w:val="39"/>
    <w:unhideWhenUsed/>
    <w:rsid w:val="00193945"/>
    <w:pPr>
      <w:spacing w:after="100"/>
      <w:ind w:left="1760"/>
    </w:pPr>
    <w:rPr>
      <w:rFonts w:asciiTheme="minorHAnsi" w:eastAsiaTheme="minorEastAsia" w:hAnsiTheme="minorHAnsi"/>
      <w:sz w:val="22"/>
      <w:lang w:eastAsia="es-EC"/>
    </w:rPr>
  </w:style>
  <w:style w:type="character" w:styleId="Mencinsinresolver">
    <w:name w:val="Unresolved Mention"/>
    <w:basedOn w:val="Fuentedeprrafopredeter"/>
    <w:uiPriority w:val="99"/>
    <w:semiHidden/>
    <w:unhideWhenUsed/>
    <w:rsid w:val="00193945"/>
    <w:rPr>
      <w:color w:val="605E5C"/>
      <w:shd w:val="clear" w:color="auto" w:fill="E1DFDD"/>
    </w:rPr>
  </w:style>
  <w:style w:type="character" w:styleId="CdigoHTML">
    <w:name w:val="HTML Code"/>
    <w:basedOn w:val="Fuentedeprrafopredeter"/>
    <w:uiPriority w:val="99"/>
    <w:semiHidden/>
    <w:unhideWhenUsed/>
    <w:rsid w:val="00193945"/>
    <w:rPr>
      <w:rFonts w:ascii="Courier New" w:eastAsia="Times New Roman" w:hAnsi="Courier New" w:cs="Courier New"/>
      <w:sz w:val="20"/>
      <w:szCs w:val="20"/>
    </w:rPr>
  </w:style>
  <w:style w:type="character" w:customStyle="1" w:styleId="token">
    <w:name w:val="token"/>
    <w:basedOn w:val="Fuentedeprrafopredeter"/>
    <w:rsid w:val="00193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612">
      <w:bodyDiv w:val="1"/>
      <w:marLeft w:val="0"/>
      <w:marRight w:val="0"/>
      <w:marTop w:val="0"/>
      <w:marBottom w:val="0"/>
      <w:divBdr>
        <w:top w:val="none" w:sz="0" w:space="0" w:color="auto"/>
        <w:left w:val="none" w:sz="0" w:space="0" w:color="auto"/>
        <w:bottom w:val="none" w:sz="0" w:space="0" w:color="auto"/>
        <w:right w:val="none" w:sz="0" w:space="0" w:color="auto"/>
      </w:divBdr>
    </w:div>
    <w:div w:id="51582214">
      <w:bodyDiv w:val="1"/>
      <w:marLeft w:val="0"/>
      <w:marRight w:val="0"/>
      <w:marTop w:val="0"/>
      <w:marBottom w:val="0"/>
      <w:divBdr>
        <w:top w:val="none" w:sz="0" w:space="0" w:color="auto"/>
        <w:left w:val="none" w:sz="0" w:space="0" w:color="auto"/>
        <w:bottom w:val="none" w:sz="0" w:space="0" w:color="auto"/>
        <w:right w:val="none" w:sz="0" w:space="0" w:color="auto"/>
      </w:divBdr>
    </w:div>
    <w:div w:id="61298390">
      <w:bodyDiv w:val="1"/>
      <w:marLeft w:val="0"/>
      <w:marRight w:val="0"/>
      <w:marTop w:val="0"/>
      <w:marBottom w:val="0"/>
      <w:divBdr>
        <w:top w:val="none" w:sz="0" w:space="0" w:color="auto"/>
        <w:left w:val="none" w:sz="0" w:space="0" w:color="auto"/>
        <w:bottom w:val="none" w:sz="0" w:space="0" w:color="auto"/>
        <w:right w:val="none" w:sz="0" w:space="0" w:color="auto"/>
      </w:divBdr>
    </w:div>
    <w:div w:id="62142606">
      <w:bodyDiv w:val="1"/>
      <w:marLeft w:val="0"/>
      <w:marRight w:val="0"/>
      <w:marTop w:val="0"/>
      <w:marBottom w:val="0"/>
      <w:divBdr>
        <w:top w:val="none" w:sz="0" w:space="0" w:color="auto"/>
        <w:left w:val="none" w:sz="0" w:space="0" w:color="auto"/>
        <w:bottom w:val="none" w:sz="0" w:space="0" w:color="auto"/>
        <w:right w:val="none" w:sz="0" w:space="0" w:color="auto"/>
      </w:divBdr>
    </w:div>
    <w:div w:id="64649028">
      <w:bodyDiv w:val="1"/>
      <w:marLeft w:val="0"/>
      <w:marRight w:val="0"/>
      <w:marTop w:val="0"/>
      <w:marBottom w:val="0"/>
      <w:divBdr>
        <w:top w:val="none" w:sz="0" w:space="0" w:color="auto"/>
        <w:left w:val="none" w:sz="0" w:space="0" w:color="auto"/>
        <w:bottom w:val="none" w:sz="0" w:space="0" w:color="auto"/>
        <w:right w:val="none" w:sz="0" w:space="0" w:color="auto"/>
      </w:divBdr>
    </w:div>
    <w:div w:id="113065105">
      <w:bodyDiv w:val="1"/>
      <w:marLeft w:val="0"/>
      <w:marRight w:val="0"/>
      <w:marTop w:val="0"/>
      <w:marBottom w:val="0"/>
      <w:divBdr>
        <w:top w:val="none" w:sz="0" w:space="0" w:color="auto"/>
        <w:left w:val="none" w:sz="0" w:space="0" w:color="auto"/>
        <w:bottom w:val="none" w:sz="0" w:space="0" w:color="auto"/>
        <w:right w:val="none" w:sz="0" w:space="0" w:color="auto"/>
      </w:divBdr>
    </w:div>
    <w:div w:id="142165876">
      <w:bodyDiv w:val="1"/>
      <w:marLeft w:val="0"/>
      <w:marRight w:val="0"/>
      <w:marTop w:val="0"/>
      <w:marBottom w:val="0"/>
      <w:divBdr>
        <w:top w:val="none" w:sz="0" w:space="0" w:color="auto"/>
        <w:left w:val="none" w:sz="0" w:space="0" w:color="auto"/>
        <w:bottom w:val="none" w:sz="0" w:space="0" w:color="auto"/>
        <w:right w:val="none" w:sz="0" w:space="0" w:color="auto"/>
      </w:divBdr>
    </w:div>
    <w:div w:id="166216288">
      <w:bodyDiv w:val="1"/>
      <w:marLeft w:val="0"/>
      <w:marRight w:val="0"/>
      <w:marTop w:val="0"/>
      <w:marBottom w:val="0"/>
      <w:divBdr>
        <w:top w:val="none" w:sz="0" w:space="0" w:color="auto"/>
        <w:left w:val="none" w:sz="0" w:space="0" w:color="auto"/>
        <w:bottom w:val="none" w:sz="0" w:space="0" w:color="auto"/>
        <w:right w:val="none" w:sz="0" w:space="0" w:color="auto"/>
      </w:divBdr>
    </w:div>
    <w:div w:id="218131054">
      <w:bodyDiv w:val="1"/>
      <w:marLeft w:val="0"/>
      <w:marRight w:val="0"/>
      <w:marTop w:val="0"/>
      <w:marBottom w:val="0"/>
      <w:divBdr>
        <w:top w:val="none" w:sz="0" w:space="0" w:color="auto"/>
        <w:left w:val="none" w:sz="0" w:space="0" w:color="auto"/>
        <w:bottom w:val="none" w:sz="0" w:space="0" w:color="auto"/>
        <w:right w:val="none" w:sz="0" w:space="0" w:color="auto"/>
      </w:divBdr>
    </w:div>
    <w:div w:id="265426028">
      <w:bodyDiv w:val="1"/>
      <w:marLeft w:val="0"/>
      <w:marRight w:val="0"/>
      <w:marTop w:val="0"/>
      <w:marBottom w:val="0"/>
      <w:divBdr>
        <w:top w:val="none" w:sz="0" w:space="0" w:color="auto"/>
        <w:left w:val="none" w:sz="0" w:space="0" w:color="auto"/>
        <w:bottom w:val="none" w:sz="0" w:space="0" w:color="auto"/>
        <w:right w:val="none" w:sz="0" w:space="0" w:color="auto"/>
      </w:divBdr>
    </w:div>
    <w:div w:id="291641460">
      <w:bodyDiv w:val="1"/>
      <w:marLeft w:val="0"/>
      <w:marRight w:val="0"/>
      <w:marTop w:val="0"/>
      <w:marBottom w:val="0"/>
      <w:divBdr>
        <w:top w:val="none" w:sz="0" w:space="0" w:color="auto"/>
        <w:left w:val="none" w:sz="0" w:space="0" w:color="auto"/>
        <w:bottom w:val="none" w:sz="0" w:space="0" w:color="auto"/>
        <w:right w:val="none" w:sz="0" w:space="0" w:color="auto"/>
      </w:divBdr>
    </w:div>
    <w:div w:id="292829294">
      <w:bodyDiv w:val="1"/>
      <w:marLeft w:val="0"/>
      <w:marRight w:val="0"/>
      <w:marTop w:val="0"/>
      <w:marBottom w:val="0"/>
      <w:divBdr>
        <w:top w:val="none" w:sz="0" w:space="0" w:color="auto"/>
        <w:left w:val="none" w:sz="0" w:space="0" w:color="auto"/>
        <w:bottom w:val="none" w:sz="0" w:space="0" w:color="auto"/>
        <w:right w:val="none" w:sz="0" w:space="0" w:color="auto"/>
      </w:divBdr>
    </w:div>
    <w:div w:id="451172139">
      <w:bodyDiv w:val="1"/>
      <w:marLeft w:val="0"/>
      <w:marRight w:val="0"/>
      <w:marTop w:val="0"/>
      <w:marBottom w:val="0"/>
      <w:divBdr>
        <w:top w:val="none" w:sz="0" w:space="0" w:color="auto"/>
        <w:left w:val="none" w:sz="0" w:space="0" w:color="auto"/>
        <w:bottom w:val="none" w:sz="0" w:space="0" w:color="auto"/>
        <w:right w:val="none" w:sz="0" w:space="0" w:color="auto"/>
      </w:divBdr>
    </w:div>
    <w:div w:id="523057908">
      <w:bodyDiv w:val="1"/>
      <w:marLeft w:val="0"/>
      <w:marRight w:val="0"/>
      <w:marTop w:val="0"/>
      <w:marBottom w:val="0"/>
      <w:divBdr>
        <w:top w:val="none" w:sz="0" w:space="0" w:color="auto"/>
        <w:left w:val="none" w:sz="0" w:space="0" w:color="auto"/>
        <w:bottom w:val="none" w:sz="0" w:space="0" w:color="auto"/>
        <w:right w:val="none" w:sz="0" w:space="0" w:color="auto"/>
      </w:divBdr>
    </w:div>
    <w:div w:id="578828541">
      <w:bodyDiv w:val="1"/>
      <w:marLeft w:val="0"/>
      <w:marRight w:val="0"/>
      <w:marTop w:val="0"/>
      <w:marBottom w:val="0"/>
      <w:divBdr>
        <w:top w:val="none" w:sz="0" w:space="0" w:color="auto"/>
        <w:left w:val="none" w:sz="0" w:space="0" w:color="auto"/>
        <w:bottom w:val="none" w:sz="0" w:space="0" w:color="auto"/>
        <w:right w:val="none" w:sz="0" w:space="0" w:color="auto"/>
      </w:divBdr>
    </w:div>
    <w:div w:id="586768795">
      <w:bodyDiv w:val="1"/>
      <w:marLeft w:val="0"/>
      <w:marRight w:val="0"/>
      <w:marTop w:val="0"/>
      <w:marBottom w:val="0"/>
      <w:divBdr>
        <w:top w:val="none" w:sz="0" w:space="0" w:color="auto"/>
        <w:left w:val="none" w:sz="0" w:space="0" w:color="auto"/>
        <w:bottom w:val="none" w:sz="0" w:space="0" w:color="auto"/>
        <w:right w:val="none" w:sz="0" w:space="0" w:color="auto"/>
      </w:divBdr>
    </w:div>
    <w:div w:id="665016837">
      <w:bodyDiv w:val="1"/>
      <w:marLeft w:val="0"/>
      <w:marRight w:val="0"/>
      <w:marTop w:val="0"/>
      <w:marBottom w:val="0"/>
      <w:divBdr>
        <w:top w:val="none" w:sz="0" w:space="0" w:color="auto"/>
        <w:left w:val="none" w:sz="0" w:space="0" w:color="auto"/>
        <w:bottom w:val="none" w:sz="0" w:space="0" w:color="auto"/>
        <w:right w:val="none" w:sz="0" w:space="0" w:color="auto"/>
      </w:divBdr>
    </w:div>
    <w:div w:id="669019900">
      <w:bodyDiv w:val="1"/>
      <w:marLeft w:val="0"/>
      <w:marRight w:val="0"/>
      <w:marTop w:val="0"/>
      <w:marBottom w:val="0"/>
      <w:divBdr>
        <w:top w:val="none" w:sz="0" w:space="0" w:color="auto"/>
        <w:left w:val="none" w:sz="0" w:space="0" w:color="auto"/>
        <w:bottom w:val="none" w:sz="0" w:space="0" w:color="auto"/>
        <w:right w:val="none" w:sz="0" w:space="0" w:color="auto"/>
      </w:divBdr>
    </w:div>
    <w:div w:id="673144553">
      <w:bodyDiv w:val="1"/>
      <w:marLeft w:val="0"/>
      <w:marRight w:val="0"/>
      <w:marTop w:val="0"/>
      <w:marBottom w:val="0"/>
      <w:divBdr>
        <w:top w:val="none" w:sz="0" w:space="0" w:color="auto"/>
        <w:left w:val="none" w:sz="0" w:space="0" w:color="auto"/>
        <w:bottom w:val="none" w:sz="0" w:space="0" w:color="auto"/>
        <w:right w:val="none" w:sz="0" w:space="0" w:color="auto"/>
      </w:divBdr>
    </w:div>
    <w:div w:id="680206866">
      <w:bodyDiv w:val="1"/>
      <w:marLeft w:val="0"/>
      <w:marRight w:val="0"/>
      <w:marTop w:val="0"/>
      <w:marBottom w:val="0"/>
      <w:divBdr>
        <w:top w:val="none" w:sz="0" w:space="0" w:color="auto"/>
        <w:left w:val="none" w:sz="0" w:space="0" w:color="auto"/>
        <w:bottom w:val="none" w:sz="0" w:space="0" w:color="auto"/>
        <w:right w:val="none" w:sz="0" w:space="0" w:color="auto"/>
      </w:divBdr>
    </w:div>
    <w:div w:id="693768066">
      <w:bodyDiv w:val="1"/>
      <w:marLeft w:val="0"/>
      <w:marRight w:val="0"/>
      <w:marTop w:val="0"/>
      <w:marBottom w:val="0"/>
      <w:divBdr>
        <w:top w:val="none" w:sz="0" w:space="0" w:color="auto"/>
        <w:left w:val="none" w:sz="0" w:space="0" w:color="auto"/>
        <w:bottom w:val="none" w:sz="0" w:space="0" w:color="auto"/>
        <w:right w:val="none" w:sz="0" w:space="0" w:color="auto"/>
      </w:divBdr>
    </w:div>
    <w:div w:id="719982413">
      <w:bodyDiv w:val="1"/>
      <w:marLeft w:val="0"/>
      <w:marRight w:val="0"/>
      <w:marTop w:val="0"/>
      <w:marBottom w:val="0"/>
      <w:divBdr>
        <w:top w:val="none" w:sz="0" w:space="0" w:color="auto"/>
        <w:left w:val="none" w:sz="0" w:space="0" w:color="auto"/>
        <w:bottom w:val="none" w:sz="0" w:space="0" w:color="auto"/>
        <w:right w:val="none" w:sz="0" w:space="0" w:color="auto"/>
      </w:divBdr>
    </w:div>
    <w:div w:id="805464015">
      <w:bodyDiv w:val="1"/>
      <w:marLeft w:val="0"/>
      <w:marRight w:val="0"/>
      <w:marTop w:val="0"/>
      <w:marBottom w:val="0"/>
      <w:divBdr>
        <w:top w:val="none" w:sz="0" w:space="0" w:color="auto"/>
        <w:left w:val="none" w:sz="0" w:space="0" w:color="auto"/>
        <w:bottom w:val="none" w:sz="0" w:space="0" w:color="auto"/>
        <w:right w:val="none" w:sz="0" w:space="0" w:color="auto"/>
      </w:divBdr>
    </w:div>
    <w:div w:id="813567106">
      <w:bodyDiv w:val="1"/>
      <w:marLeft w:val="0"/>
      <w:marRight w:val="0"/>
      <w:marTop w:val="0"/>
      <w:marBottom w:val="0"/>
      <w:divBdr>
        <w:top w:val="none" w:sz="0" w:space="0" w:color="auto"/>
        <w:left w:val="none" w:sz="0" w:space="0" w:color="auto"/>
        <w:bottom w:val="none" w:sz="0" w:space="0" w:color="auto"/>
        <w:right w:val="none" w:sz="0" w:space="0" w:color="auto"/>
      </w:divBdr>
    </w:div>
    <w:div w:id="844905225">
      <w:bodyDiv w:val="1"/>
      <w:marLeft w:val="0"/>
      <w:marRight w:val="0"/>
      <w:marTop w:val="0"/>
      <w:marBottom w:val="0"/>
      <w:divBdr>
        <w:top w:val="none" w:sz="0" w:space="0" w:color="auto"/>
        <w:left w:val="none" w:sz="0" w:space="0" w:color="auto"/>
        <w:bottom w:val="none" w:sz="0" w:space="0" w:color="auto"/>
        <w:right w:val="none" w:sz="0" w:space="0" w:color="auto"/>
      </w:divBdr>
    </w:div>
    <w:div w:id="870148585">
      <w:bodyDiv w:val="1"/>
      <w:marLeft w:val="0"/>
      <w:marRight w:val="0"/>
      <w:marTop w:val="0"/>
      <w:marBottom w:val="0"/>
      <w:divBdr>
        <w:top w:val="none" w:sz="0" w:space="0" w:color="auto"/>
        <w:left w:val="none" w:sz="0" w:space="0" w:color="auto"/>
        <w:bottom w:val="none" w:sz="0" w:space="0" w:color="auto"/>
        <w:right w:val="none" w:sz="0" w:space="0" w:color="auto"/>
      </w:divBdr>
    </w:div>
    <w:div w:id="909071759">
      <w:bodyDiv w:val="1"/>
      <w:marLeft w:val="0"/>
      <w:marRight w:val="0"/>
      <w:marTop w:val="0"/>
      <w:marBottom w:val="0"/>
      <w:divBdr>
        <w:top w:val="none" w:sz="0" w:space="0" w:color="auto"/>
        <w:left w:val="none" w:sz="0" w:space="0" w:color="auto"/>
        <w:bottom w:val="none" w:sz="0" w:space="0" w:color="auto"/>
        <w:right w:val="none" w:sz="0" w:space="0" w:color="auto"/>
      </w:divBdr>
    </w:div>
    <w:div w:id="1064328485">
      <w:bodyDiv w:val="1"/>
      <w:marLeft w:val="0"/>
      <w:marRight w:val="0"/>
      <w:marTop w:val="0"/>
      <w:marBottom w:val="0"/>
      <w:divBdr>
        <w:top w:val="none" w:sz="0" w:space="0" w:color="auto"/>
        <w:left w:val="none" w:sz="0" w:space="0" w:color="auto"/>
        <w:bottom w:val="none" w:sz="0" w:space="0" w:color="auto"/>
        <w:right w:val="none" w:sz="0" w:space="0" w:color="auto"/>
      </w:divBdr>
    </w:div>
    <w:div w:id="1081488253">
      <w:bodyDiv w:val="1"/>
      <w:marLeft w:val="0"/>
      <w:marRight w:val="0"/>
      <w:marTop w:val="0"/>
      <w:marBottom w:val="0"/>
      <w:divBdr>
        <w:top w:val="none" w:sz="0" w:space="0" w:color="auto"/>
        <w:left w:val="none" w:sz="0" w:space="0" w:color="auto"/>
        <w:bottom w:val="none" w:sz="0" w:space="0" w:color="auto"/>
        <w:right w:val="none" w:sz="0" w:space="0" w:color="auto"/>
      </w:divBdr>
    </w:div>
    <w:div w:id="1135684262">
      <w:bodyDiv w:val="1"/>
      <w:marLeft w:val="0"/>
      <w:marRight w:val="0"/>
      <w:marTop w:val="0"/>
      <w:marBottom w:val="0"/>
      <w:divBdr>
        <w:top w:val="none" w:sz="0" w:space="0" w:color="auto"/>
        <w:left w:val="none" w:sz="0" w:space="0" w:color="auto"/>
        <w:bottom w:val="none" w:sz="0" w:space="0" w:color="auto"/>
        <w:right w:val="none" w:sz="0" w:space="0" w:color="auto"/>
      </w:divBdr>
    </w:div>
    <w:div w:id="1198469626">
      <w:bodyDiv w:val="1"/>
      <w:marLeft w:val="0"/>
      <w:marRight w:val="0"/>
      <w:marTop w:val="0"/>
      <w:marBottom w:val="0"/>
      <w:divBdr>
        <w:top w:val="none" w:sz="0" w:space="0" w:color="auto"/>
        <w:left w:val="none" w:sz="0" w:space="0" w:color="auto"/>
        <w:bottom w:val="none" w:sz="0" w:space="0" w:color="auto"/>
        <w:right w:val="none" w:sz="0" w:space="0" w:color="auto"/>
      </w:divBdr>
    </w:div>
    <w:div w:id="1206025591">
      <w:bodyDiv w:val="1"/>
      <w:marLeft w:val="0"/>
      <w:marRight w:val="0"/>
      <w:marTop w:val="0"/>
      <w:marBottom w:val="0"/>
      <w:divBdr>
        <w:top w:val="none" w:sz="0" w:space="0" w:color="auto"/>
        <w:left w:val="none" w:sz="0" w:space="0" w:color="auto"/>
        <w:bottom w:val="none" w:sz="0" w:space="0" w:color="auto"/>
        <w:right w:val="none" w:sz="0" w:space="0" w:color="auto"/>
      </w:divBdr>
    </w:div>
    <w:div w:id="1240015316">
      <w:bodyDiv w:val="1"/>
      <w:marLeft w:val="0"/>
      <w:marRight w:val="0"/>
      <w:marTop w:val="0"/>
      <w:marBottom w:val="0"/>
      <w:divBdr>
        <w:top w:val="none" w:sz="0" w:space="0" w:color="auto"/>
        <w:left w:val="none" w:sz="0" w:space="0" w:color="auto"/>
        <w:bottom w:val="none" w:sz="0" w:space="0" w:color="auto"/>
        <w:right w:val="none" w:sz="0" w:space="0" w:color="auto"/>
      </w:divBdr>
    </w:div>
    <w:div w:id="1298417419">
      <w:bodyDiv w:val="1"/>
      <w:marLeft w:val="0"/>
      <w:marRight w:val="0"/>
      <w:marTop w:val="0"/>
      <w:marBottom w:val="0"/>
      <w:divBdr>
        <w:top w:val="none" w:sz="0" w:space="0" w:color="auto"/>
        <w:left w:val="none" w:sz="0" w:space="0" w:color="auto"/>
        <w:bottom w:val="none" w:sz="0" w:space="0" w:color="auto"/>
        <w:right w:val="none" w:sz="0" w:space="0" w:color="auto"/>
      </w:divBdr>
    </w:div>
    <w:div w:id="1311517285">
      <w:bodyDiv w:val="1"/>
      <w:marLeft w:val="0"/>
      <w:marRight w:val="0"/>
      <w:marTop w:val="0"/>
      <w:marBottom w:val="0"/>
      <w:divBdr>
        <w:top w:val="none" w:sz="0" w:space="0" w:color="auto"/>
        <w:left w:val="none" w:sz="0" w:space="0" w:color="auto"/>
        <w:bottom w:val="none" w:sz="0" w:space="0" w:color="auto"/>
        <w:right w:val="none" w:sz="0" w:space="0" w:color="auto"/>
      </w:divBdr>
    </w:div>
    <w:div w:id="1436168173">
      <w:bodyDiv w:val="1"/>
      <w:marLeft w:val="0"/>
      <w:marRight w:val="0"/>
      <w:marTop w:val="0"/>
      <w:marBottom w:val="0"/>
      <w:divBdr>
        <w:top w:val="none" w:sz="0" w:space="0" w:color="auto"/>
        <w:left w:val="none" w:sz="0" w:space="0" w:color="auto"/>
        <w:bottom w:val="none" w:sz="0" w:space="0" w:color="auto"/>
        <w:right w:val="none" w:sz="0" w:space="0" w:color="auto"/>
      </w:divBdr>
    </w:div>
    <w:div w:id="1492986210">
      <w:bodyDiv w:val="1"/>
      <w:marLeft w:val="0"/>
      <w:marRight w:val="0"/>
      <w:marTop w:val="0"/>
      <w:marBottom w:val="0"/>
      <w:divBdr>
        <w:top w:val="none" w:sz="0" w:space="0" w:color="auto"/>
        <w:left w:val="none" w:sz="0" w:space="0" w:color="auto"/>
        <w:bottom w:val="none" w:sz="0" w:space="0" w:color="auto"/>
        <w:right w:val="none" w:sz="0" w:space="0" w:color="auto"/>
      </w:divBdr>
    </w:div>
    <w:div w:id="1516651585">
      <w:bodyDiv w:val="1"/>
      <w:marLeft w:val="0"/>
      <w:marRight w:val="0"/>
      <w:marTop w:val="0"/>
      <w:marBottom w:val="0"/>
      <w:divBdr>
        <w:top w:val="none" w:sz="0" w:space="0" w:color="auto"/>
        <w:left w:val="none" w:sz="0" w:space="0" w:color="auto"/>
        <w:bottom w:val="none" w:sz="0" w:space="0" w:color="auto"/>
        <w:right w:val="none" w:sz="0" w:space="0" w:color="auto"/>
      </w:divBdr>
    </w:div>
    <w:div w:id="1523786268">
      <w:bodyDiv w:val="1"/>
      <w:marLeft w:val="0"/>
      <w:marRight w:val="0"/>
      <w:marTop w:val="0"/>
      <w:marBottom w:val="0"/>
      <w:divBdr>
        <w:top w:val="none" w:sz="0" w:space="0" w:color="auto"/>
        <w:left w:val="none" w:sz="0" w:space="0" w:color="auto"/>
        <w:bottom w:val="none" w:sz="0" w:space="0" w:color="auto"/>
        <w:right w:val="none" w:sz="0" w:space="0" w:color="auto"/>
      </w:divBdr>
    </w:div>
    <w:div w:id="1573926187">
      <w:bodyDiv w:val="1"/>
      <w:marLeft w:val="0"/>
      <w:marRight w:val="0"/>
      <w:marTop w:val="0"/>
      <w:marBottom w:val="0"/>
      <w:divBdr>
        <w:top w:val="none" w:sz="0" w:space="0" w:color="auto"/>
        <w:left w:val="none" w:sz="0" w:space="0" w:color="auto"/>
        <w:bottom w:val="none" w:sz="0" w:space="0" w:color="auto"/>
        <w:right w:val="none" w:sz="0" w:space="0" w:color="auto"/>
      </w:divBdr>
    </w:div>
    <w:div w:id="1587223673">
      <w:bodyDiv w:val="1"/>
      <w:marLeft w:val="0"/>
      <w:marRight w:val="0"/>
      <w:marTop w:val="0"/>
      <w:marBottom w:val="0"/>
      <w:divBdr>
        <w:top w:val="none" w:sz="0" w:space="0" w:color="auto"/>
        <w:left w:val="none" w:sz="0" w:space="0" w:color="auto"/>
        <w:bottom w:val="none" w:sz="0" w:space="0" w:color="auto"/>
        <w:right w:val="none" w:sz="0" w:space="0" w:color="auto"/>
      </w:divBdr>
    </w:div>
    <w:div w:id="1587689282">
      <w:bodyDiv w:val="1"/>
      <w:marLeft w:val="0"/>
      <w:marRight w:val="0"/>
      <w:marTop w:val="0"/>
      <w:marBottom w:val="0"/>
      <w:divBdr>
        <w:top w:val="none" w:sz="0" w:space="0" w:color="auto"/>
        <w:left w:val="none" w:sz="0" w:space="0" w:color="auto"/>
        <w:bottom w:val="none" w:sz="0" w:space="0" w:color="auto"/>
        <w:right w:val="none" w:sz="0" w:space="0" w:color="auto"/>
      </w:divBdr>
    </w:div>
    <w:div w:id="1642612679">
      <w:bodyDiv w:val="1"/>
      <w:marLeft w:val="0"/>
      <w:marRight w:val="0"/>
      <w:marTop w:val="0"/>
      <w:marBottom w:val="0"/>
      <w:divBdr>
        <w:top w:val="none" w:sz="0" w:space="0" w:color="auto"/>
        <w:left w:val="none" w:sz="0" w:space="0" w:color="auto"/>
        <w:bottom w:val="none" w:sz="0" w:space="0" w:color="auto"/>
        <w:right w:val="none" w:sz="0" w:space="0" w:color="auto"/>
      </w:divBdr>
    </w:div>
    <w:div w:id="1672829428">
      <w:bodyDiv w:val="1"/>
      <w:marLeft w:val="0"/>
      <w:marRight w:val="0"/>
      <w:marTop w:val="0"/>
      <w:marBottom w:val="0"/>
      <w:divBdr>
        <w:top w:val="none" w:sz="0" w:space="0" w:color="auto"/>
        <w:left w:val="none" w:sz="0" w:space="0" w:color="auto"/>
        <w:bottom w:val="none" w:sz="0" w:space="0" w:color="auto"/>
        <w:right w:val="none" w:sz="0" w:space="0" w:color="auto"/>
      </w:divBdr>
    </w:div>
    <w:div w:id="1682387275">
      <w:bodyDiv w:val="1"/>
      <w:marLeft w:val="0"/>
      <w:marRight w:val="0"/>
      <w:marTop w:val="0"/>
      <w:marBottom w:val="0"/>
      <w:divBdr>
        <w:top w:val="none" w:sz="0" w:space="0" w:color="auto"/>
        <w:left w:val="none" w:sz="0" w:space="0" w:color="auto"/>
        <w:bottom w:val="none" w:sz="0" w:space="0" w:color="auto"/>
        <w:right w:val="none" w:sz="0" w:space="0" w:color="auto"/>
      </w:divBdr>
    </w:div>
    <w:div w:id="1696077825">
      <w:bodyDiv w:val="1"/>
      <w:marLeft w:val="0"/>
      <w:marRight w:val="0"/>
      <w:marTop w:val="0"/>
      <w:marBottom w:val="0"/>
      <w:divBdr>
        <w:top w:val="none" w:sz="0" w:space="0" w:color="auto"/>
        <w:left w:val="none" w:sz="0" w:space="0" w:color="auto"/>
        <w:bottom w:val="none" w:sz="0" w:space="0" w:color="auto"/>
        <w:right w:val="none" w:sz="0" w:space="0" w:color="auto"/>
      </w:divBdr>
    </w:div>
    <w:div w:id="1712418980">
      <w:bodyDiv w:val="1"/>
      <w:marLeft w:val="0"/>
      <w:marRight w:val="0"/>
      <w:marTop w:val="0"/>
      <w:marBottom w:val="0"/>
      <w:divBdr>
        <w:top w:val="none" w:sz="0" w:space="0" w:color="auto"/>
        <w:left w:val="none" w:sz="0" w:space="0" w:color="auto"/>
        <w:bottom w:val="none" w:sz="0" w:space="0" w:color="auto"/>
        <w:right w:val="none" w:sz="0" w:space="0" w:color="auto"/>
      </w:divBdr>
    </w:div>
    <w:div w:id="1713384563">
      <w:bodyDiv w:val="1"/>
      <w:marLeft w:val="0"/>
      <w:marRight w:val="0"/>
      <w:marTop w:val="0"/>
      <w:marBottom w:val="0"/>
      <w:divBdr>
        <w:top w:val="none" w:sz="0" w:space="0" w:color="auto"/>
        <w:left w:val="none" w:sz="0" w:space="0" w:color="auto"/>
        <w:bottom w:val="none" w:sz="0" w:space="0" w:color="auto"/>
        <w:right w:val="none" w:sz="0" w:space="0" w:color="auto"/>
      </w:divBdr>
    </w:div>
    <w:div w:id="1723215293">
      <w:bodyDiv w:val="1"/>
      <w:marLeft w:val="0"/>
      <w:marRight w:val="0"/>
      <w:marTop w:val="0"/>
      <w:marBottom w:val="0"/>
      <w:divBdr>
        <w:top w:val="none" w:sz="0" w:space="0" w:color="auto"/>
        <w:left w:val="none" w:sz="0" w:space="0" w:color="auto"/>
        <w:bottom w:val="none" w:sz="0" w:space="0" w:color="auto"/>
        <w:right w:val="none" w:sz="0" w:space="0" w:color="auto"/>
      </w:divBdr>
    </w:div>
    <w:div w:id="1861315307">
      <w:bodyDiv w:val="1"/>
      <w:marLeft w:val="0"/>
      <w:marRight w:val="0"/>
      <w:marTop w:val="0"/>
      <w:marBottom w:val="0"/>
      <w:divBdr>
        <w:top w:val="none" w:sz="0" w:space="0" w:color="auto"/>
        <w:left w:val="none" w:sz="0" w:space="0" w:color="auto"/>
        <w:bottom w:val="none" w:sz="0" w:space="0" w:color="auto"/>
        <w:right w:val="none" w:sz="0" w:space="0" w:color="auto"/>
      </w:divBdr>
    </w:div>
    <w:div w:id="1910076498">
      <w:bodyDiv w:val="1"/>
      <w:marLeft w:val="0"/>
      <w:marRight w:val="0"/>
      <w:marTop w:val="0"/>
      <w:marBottom w:val="0"/>
      <w:divBdr>
        <w:top w:val="none" w:sz="0" w:space="0" w:color="auto"/>
        <w:left w:val="none" w:sz="0" w:space="0" w:color="auto"/>
        <w:bottom w:val="none" w:sz="0" w:space="0" w:color="auto"/>
        <w:right w:val="none" w:sz="0" w:space="0" w:color="auto"/>
      </w:divBdr>
    </w:div>
    <w:div w:id="1912082520">
      <w:bodyDiv w:val="1"/>
      <w:marLeft w:val="0"/>
      <w:marRight w:val="0"/>
      <w:marTop w:val="0"/>
      <w:marBottom w:val="0"/>
      <w:divBdr>
        <w:top w:val="none" w:sz="0" w:space="0" w:color="auto"/>
        <w:left w:val="none" w:sz="0" w:space="0" w:color="auto"/>
        <w:bottom w:val="none" w:sz="0" w:space="0" w:color="auto"/>
        <w:right w:val="none" w:sz="0" w:space="0" w:color="auto"/>
      </w:divBdr>
    </w:div>
    <w:div w:id="1950042294">
      <w:bodyDiv w:val="1"/>
      <w:marLeft w:val="0"/>
      <w:marRight w:val="0"/>
      <w:marTop w:val="0"/>
      <w:marBottom w:val="0"/>
      <w:divBdr>
        <w:top w:val="none" w:sz="0" w:space="0" w:color="auto"/>
        <w:left w:val="none" w:sz="0" w:space="0" w:color="auto"/>
        <w:bottom w:val="none" w:sz="0" w:space="0" w:color="auto"/>
        <w:right w:val="none" w:sz="0" w:space="0" w:color="auto"/>
      </w:divBdr>
    </w:div>
    <w:div w:id="1959220234">
      <w:bodyDiv w:val="1"/>
      <w:marLeft w:val="0"/>
      <w:marRight w:val="0"/>
      <w:marTop w:val="0"/>
      <w:marBottom w:val="0"/>
      <w:divBdr>
        <w:top w:val="none" w:sz="0" w:space="0" w:color="auto"/>
        <w:left w:val="none" w:sz="0" w:space="0" w:color="auto"/>
        <w:bottom w:val="none" w:sz="0" w:space="0" w:color="auto"/>
        <w:right w:val="none" w:sz="0" w:space="0" w:color="auto"/>
      </w:divBdr>
    </w:div>
    <w:div w:id="1973948920">
      <w:bodyDiv w:val="1"/>
      <w:marLeft w:val="0"/>
      <w:marRight w:val="0"/>
      <w:marTop w:val="0"/>
      <w:marBottom w:val="0"/>
      <w:divBdr>
        <w:top w:val="none" w:sz="0" w:space="0" w:color="auto"/>
        <w:left w:val="none" w:sz="0" w:space="0" w:color="auto"/>
        <w:bottom w:val="none" w:sz="0" w:space="0" w:color="auto"/>
        <w:right w:val="none" w:sz="0" w:space="0" w:color="auto"/>
      </w:divBdr>
    </w:div>
    <w:div w:id="214126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D:\Maestria%20de%20Sofware\Maestria-de-Sofware\Tesis\USUARIOS%20REGISTRADOS%20EN%20PAY2ME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estria%20de%20Sofware\Maestria-de-Sofware\Tesis\USUARIOS%20REGISTRADOS%20EN%20PAY2ME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Maestria%20de%20Sofware\Maestria-de-Sofware\Tesis\Resultado%20de%20encus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aestria%20de%20Sofware\Maestria-de-Sofware\Tesis\Resultado%20de%20encus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Maestria%20de%20Sofware\Maestria-de-Sofware\Tesis\Resultado%20de%20encus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Maestria%20de%20Sofware\Maestria-de-Sofware\Tesis\Gananci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Usuarios!$A$2</c:f>
              <c:strCache>
                <c:ptCount val="1"/>
                <c:pt idx="0">
                  <c:v>Enero</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C"/>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Usuarios!$B$1:$D$1</c:f>
              <c:strCache>
                <c:ptCount val="3"/>
                <c:pt idx="0">
                  <c:v>Cantidad de usuarios registrados</c:v>
                </c:pt>
                <c:pt idx="1">
                  <c:v>Cantidad de usuarios verificados biometricamente</c:v>
                </c:pt>
                <c:pt idx="2">
                  <c:v>Cantidad de usuarios con identidad digital NFT</c:v>
                </c:pt>
              </c:strCache>
            </c:strRef>
          </c:cat>
          <c:val>
            <c:numRef>
              <c:f>Usuarios!$B$2:$D$2</c:f>
              <c:numCache>
                <c:formatCode>General</c:formatCode>
                <c:ptCount val="3"/>
                <c:pt idx="0">
                  <c:v>150</c:v>
                </c:pt>
                <c:pt idx="1">
                  <c:v>144</c:v>
                </c:pt>
                <c:pt idx="2">
                  <c:v>142</c:v>
                </c:pt>
              </c:numCache>
            </c:numRef>
          </c:val>
          <c:extLst>
            <c:ext xmlns:c16="http://schemas.microsoft.com/office/drawing/2014/chart" uri="{C3380CC4-5D6E-409C-BE32-E72D297353CC}">
              <c16:uniqueId val="{00000000-4924-42C2-94F5-147D7937EBE5}"/>
            </c:ext>
          </c:extLst>
        </c:ser>
        <c:ser>
          <c:idx val="1"/>
          <c:order val="1"/>
          <c:tx>
            <c:strRef>
              <c:f>Usuarios!$A$3</c:f>
              <c:strCache>
                <c:ptCount val="1"/>
                <c:pt idx="0">
                  <c:v>Febrero</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C"/>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Usuarios!$B$1:$D$1</c:f>
              <c:strCache>
                <c:ptCount val="3"/>
                <c:pt idx="0">
                  <c:v>Cantidad de usuarios registrados</c:v>
                </c:pt>
                <c:pt idx="1">
                  <c:v>Cantidad de usuarios verificados biometricamente</c:v>
                </c:pt>
                <c:pt idx="2">
                  <c:v>Cantidad de usuarios con identidad digital NFT</c:v>
                </c:pt>
              </c:strCache>
            </c:strRef>
          </c:cat>
          <c:val>
            <c:numRef>
              <c:f>Usuarios!$B$3:$D$3</c:f>
              <c:numCache>
                <c:formatCode>General</c:formatCode>
                <c:ptCount val="3"/>
                <c:pt idx="0">
                  <c:v>110</c:v>
                </c:pt>
                <c:pt idx="1">
                  <c:v>110</c:v>
                </c:pt>
                <c:pt idx="2">
                  <c:v>108</c:v>
                </c:pt>
              </c:numCache>
            </c:numRef>
          </c:val>
          <c:extLst>
            <c:ext xmlns:c16="http://schemas.microsoft.com/office/drawing/2014/chart" uri="{C3380CC4-5D6E-409C-BE32-E72D297353CC}">
              <c16:uniqueId val="{00000001-4924-42C2-94F5-147D7937EBE5}"/>
            </c:ext>
          </c:extLst>
        </c:ser>
        <c:dLbls>
          <c:dLblPos val="inEnd"/>
          <c:showLegendKey val="0"/>
          <c:showVal val="1"/>
          <c:showCatName val="0"/>
          <c:showSerName val="0"/>
          <c:showPercent val="0"/>
          <c:showBubbleSize val="0"/>
        </c:dLbls>
        <c:gapWidth val="100"/>
        <c:axId val="2074845696"/>
        <c:axId val="2074847360"/>
      </c:barChart>
      <c:lineChart>
        <c:grouping val="standard"/>
        <c:varyColors val="0"/>
        <c:ser>
          <c:idx val="2"/>
          <c:order val="2"/>
          <c:tx>
            <c:strRef>
              <c:f>Usuarios!$A$4</c:f>
              <c:strCache>
                <c:ptCount val="1"/>
                <c:pt idx="0">
                  <c:v>Marzo</c:v>
                </c:pt>
              </c:strCache>
            </c:strRef>
          </c:tx>
          <c:spPr>
            <a:ln w="31750" cap="rnd">
              <a:solidFill>
                <a:schemeClr val="accent4"/>
              </a:solidFill>
              <a:round/>
            </a:ln>
            <a:effectLst/>
          </c:spPr>
          <c:marker>
            <c:symbol val="none"/>
          </c:marker>
          <c:dLbls>
            <c:dLbl>
              <c:idx val="0"/>
              <c:layout>
                <c:manualLayout>
                  <c:x val="1.5214910612400151E-2"/>
                  <c:y val="-1.66927463445186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924-42C2-94F5-147D7937EBE5}"/>
                </c:ext>
              </c:extLst>
            </c:dLbl>
            <c:dLbl>
              <c:idx val="1"/>
              <c:layout>
                <c:manualLayout>
                  <c:x val="1.5214910612400059E-2"/>
                  <c:y val="-2.08659329306482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924-42C2-94F5-147D7937EBE5}"/>
                </c:ext>
              </c:extLst>
            </c:dLbl>
            <c:dLbl>
              <c:idx val="2"/>
              <c:layout>
                <c:manualLayout>
                  <c:x val="1.0143273741600102E-2"/>
                  <c:y val="-1.66927463445186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924-42C2-94F5-147D7937EBE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Usuarios!$B$1:$D$1</c:f>
              <c:strCache>
                <c:ptCount val="3"/>
                <c:pt idx="0">
                  <c:v>Cantidad de usuarios registrados</c:v>
                </c:pt>
                <c:pt idx="1">
                  <c:v>Cantidad de usuarios verificados biometricamente</c:v>
                </c:pt>
                <c:pt idx="2">
                  <c:v>Cantidad de usuarios con identidad digital NFT</c:v>
                </c:pt>
              </c:strCache>
            </c:strRef>
          </c:cat>
          <c:val>
            <c:numRef>
              <c:f>Usuarios!$B$4:$D$4</c:f>
              <c:numCache>
                <c:formatCode>General</c:formatCode>
                <c:ptCount val="3"/>
                <c:pt idx="0">
                  <c:v>125</c:v>
                </c:pt>
                <c:pt idx="1">
                  <c:v>121</c:v>
                </c:pt>
                <c:pt idx="2">
                  <c:v>118</c:v>
                </c:pt>
              </c:numCache>
            </c:numRef>
          </c:val>
          <c:smooth val="0"/>
          <c:extLst>
            <c:ext xmlns:c16="http://schemas.microsoft.com/office/drawing/2014/chart" uri="{C3380CC4-5D6E-409C-BE32-E72D297353CC}">
              <c16:uniqueId val="{00000005-4924-42C2-94F5-147D7937EBE5}"/>
            </c:ext>
          </c:extLst>
        </c:ser>
        <c:dLbls>
          <c:showLegendKey val="0"/>
          <c:showVal val="0"/>
          <c:showCatName val="0"/>
          <c:showSerName val="0"/>
          <c:showPercent val="0"/>
          <c:showBubbleSize val="0"/>
        </c:dLbls>
        <c:marker val="1"/>
        <c:smooth val="0"/>
        <c:axId val="2074845696"/>
        <c:axId val="2074847360"/>
      </c:lineChart>
      <c:catAx>
        <c:axId val="2074845696"/>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C"/>
          </a:p>
        </c:txPr>
        <c:crossAx val="2074847360"/>
        <c:crosses val="autoZero"/>
        <c:auto val="1"/>
        <c:lblAlgn val="ctr"/>
        <c:lblOffset val="100"/>
        <c:noMultiLvlLbl val="0"/>
      </c:catAx>
      <c:valAx>
        <c:axId val="207484736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C"/>
          </a:p>
        </c:txPr>
        <c:crossAx val="2074845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r>
              <a:rPr lang="es-EC"/>
              <a:t>Smart</a:t>
            </a:r>
            <a:r>
              <a:rPr lang="es-EC" baseline="0"/>
              <a:t> contracts ejecutados</a:t>
            </a:r>
            <a:endParaRPr lang="es-EC"/>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ofPieChart>
        <c:ofPieType val="pie"/>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707-4240-8FEC-035E9D50A09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707-4240-8FEC-035E9D50A09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707-4240-8FEC-035E9D50A09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707-4240-8FEC-035E9D50A09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707-4240-8FEC-035E9D50A09F}"/>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s-EC"/>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Hoja2!$A$8:$A$11</c:f>
              <c:strCache>
                <c:ptCount val="4"/>
                <c:pt idx="0">
                  <c:v>Smart contract ejecutados correctamente</c:v>
                </c:pt>
                <c:pt idx="1">
                  <c:v>Comercio incumplió acuerdo</c:v>
                </c:pt>
                <c:pt idx="2">
                  <c:v>Pagos fraudulentos por clientes</c:v>
                </c:pt>
                <c:pt idx="3">
                  <c:v>Saldo insuficiente de critpomoneda</c:v>
                </c:pt>
              </c:strCache>
            </c:strRef>
          </c:cat>
          <c:val>
            <c:numRef>
              <c:f>Hoja2!$B$8:$B$11</c:f>
              <c:numCache>
                <c:formatCode>General</c:formatCode>
                <c:ptCount val="4"/>
                <c:pt idx="0">
                  <c:v>235</c:v>
                </c:pt>
                <c:pt idx="1">
                  <c:v>10</c:v>
                </c:pt>
                <c:pt idx="2">
                  <c:v>7</c:v>
                </c:pt>
                <c:pt idx="3">
                  <c:v>3</c:v>
                </c:pt>
              </c:numCache>
            </c:numRef>
          </c:val>
          <c:extLst>
            <c:ext xmlns:c16="http://schemas.microsoft.com/office/drawing/2014/chart" uri="{C3380CC4-5D6E-409C-BE32-E72D297353CC}">
              <c16:uniqueId val="{0000000A-1707-4240-8FEC-035E9D50A09F}"/>
            </c:ext>
          </c:extLst>
        </c:ser>
        <c:dLbls>
          <c:dLblPos val="inEnd"/>
          <c:showLegendKey val="0"/>
          <c:showVal val="0"/>
          <c:showCatName val="0"/>
          <c:showSerName val="0"/>
          <c:showPercent val="1"/>
          <c:showBubbleSize val="0"/>
          <c:showLeaderLines val="1"/>
        </c:dLbls>
        <c:gapWidth val="15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Tiempo de entrega del producto o servicio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Muy satisfecho</c:v>
                </c:pt>
                <c:pt idx="1">
                  <c:v>Satisfecho</c:v>
                </c:pt>
                <c:pt idx="2">
                  <c:v>Conforme</c:v>
                </c:pt>
                <c:pt idx="3">
                  <c:v>Insatisfecho</c:v>
                </c:pt>
                <c:pt idx="4">
                  <c:v>Muy insastifecho</c:v>
                </c:pt>
              </c:strCache>
            </c:strRef>
          </c:cat>
          <c:val>
            <c:numRef>
              <c:f>Hoja1!$C$2:$C$6</c:f>
              <c:numCache>
                <c:formatCode>0%</c:formatCode>
                <c:ptCount val="5"/>
                <c:pt idx="0">
                  <c:v>0.31764705882352939</c:v>
                </c:pt>
                <c:pt idx="1">
                  <c:v>0.4823529411764706</c:v>
                </c:pt>
                <c:pt idx="2">
                  <c:v>0.17647058823529413</c:v>
                </c:pt>
                <c:pt idx="3">
                  <c:v>2.3529411764705882E-2</c:v>
                </c:pt>
                <c:pt idx="4">
                  <c:v>0</c:v>
                </c:pt>
              </c:numCache>
            </c:numRef>
          </c:val>
          <c:extLst>
            <c:ext xmlns:c16="http://schemas.microsoft.com/office/drawing/2014/chart" uri="{C3380CC4-5D6E-409C-BE32-E72D297353CC}">
              <c16:uniqueId val="{00000000-D056-444C-8A01-EFF6D6A2FFBD}"/>
            </c:ext>
          </c:extLst>
        </c:ser>
        <c:dLbls>
          <c:dLblPos val="outEnd"/>
          <c:showLegendKey val="0"/>
          <c:showVal val="1"/>
          <c:showCatName val="0"/>
          <c:showSerName val="0"/>
          <c:showPercent val="0"/>
          <c:showBubbleSize val="0"/>
        </c:dLbls>
        <c:gapWidth val="219"/>
        <c:overlap val="-27"/>
        <c:axId val="1977091679"/>
        <c:axId val="1977097919"/>
      </c:barChart>
      <c:catAx>
        <c:axId val="19770916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77097919"/>
        <c:crosses val="autoZero"/>
        <c:auto val="1"/>
        <c:lblAlgn val="ctr"/>
        <c:lblOffset val="100"/>
        <c:noMultiLvlLbl val="0"/>
      </c:catAx>
      <c:valAx>
        <c:axId val="1977097919"/>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77091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Experiencia de compra/venta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Hoja1!$A$20:$A$24</c:f>
              <c:strCache>
                <c:ptCount val="5"/>
                <c:pt idx="0">
                  <c:v>Muy satisfecho</c:v>
                </c:pt>
                <c:pt idx="1">
                  <c:v>Satisfecho</c:v>
                </c:pt>
                <c:pt idx="2">
                  <c:v>Conforme</c:v>
                </c:pt>
                <c:pt idx="3">
                  <c:v>Insatisfecho</c:v>
                </c:pt>
                <c:pt idx="4">
                  <c:v>Muy insastifecho</c:v>
                </c:pt>
              </c:strCache>
            </c:strRef>
          </c:cat>
          <c:val>
            <c:numRef>
              <c:f>Hoja1!$C$20:$C$24</c:f>
              <c:numCache>
                <c:formatCode>0%</c:formatCode>
                <c:ptCount val="5"/>
                <c:pt idx="0">
                  <c:v>0.55294117647058827</c:v>
                </c:pt>
                <c:pt idx="1">
                  <c:v>0.3411764705882353</c:v>
                </c:pt>
                <c:pt idx="2">
                  <c:v>0.10588235294117647</c:v>
                </c:pt>
                <c:pt idx="3">
                  <c:v>0</c:v>
                </c:pt>
                <c:pt idx="4">
                  <c:v>0</c:v>
                </c:pt>
              </c:numCache>
            </c:numRef>
          </c:val>
          <c:extLst>
            <c:ext xmlns:c16="http://schemas.microsoft.com/office/drawing/2014/chart" uri="{C3380CC4-5D6E-409C-BE32-E72D297353CC}">
              <c16:uniqueId val="{00000000-665E-4B88-959D-F3D5A93BF60F}"/>
            </c:ext>
          </c:extLst>
        </c:ser>
        <c:dLbls>
          <c:dLblPos val="outEnd"/>
          <c:showLegendKey val="0"/>
          <c:showVal val="1"/>
          <c:showCatName val="0"/>
          <c:showSerName val="0"/>
          <c:showPercent val="0"/>
          <c:showBubbleSize val="0"/>
        </c:dLbls>
        <c:gapWidth val="219"/>
        <c:overlap val="-27"/>
        <c:axId val="1984038015"/>
        <c:axId val="1984038847"/>
      </c:barChart>
      <c:catAx>
        <c:axId val="198403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4038847"/>
        <c:crosses val="autoZero"/>
        <c:auto val="1"/>
        <c:lblAlgn val="ctr"/>
        <c:lblOffset val="100"/>
        <c:noMultiLvlLbl val="0"/>
      </c:catAx>
      <c:valAx>
        <c:axId val="198403884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4038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Calidad del producto /servicio entregado/ofrecido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Hoja1!$A$30:$A$34</c:f>
              <c:strCache>
                <c:ptCount val="5"/>
                <c:pt idx="0">
                  <c:v>Muy satisfecho</c:v>
                </c:pt>
                <c:pt idx="1">
                  <c:v>Satisfecho</c:v>
                </c:pt>
                <c:pt idx="2">
                  <c:v>Conforme</c:v>
                </c:pt>
                <c:pt idx="3">
                  <c:v>Insatisfecho</c:v>
                </c:pt>
                <c:pt idx="4">
                  <c:v>Muy insastifecho</c:v>
                </c:pt>
              </c:strCache>
            </c:strRef>
          </c:cat>
          <c:val>
            <c:numRef>
              <c:f>Hoja1!$C$30:$C$34</c:f>
              <c:numCache>
                <c:formatCode>0%</c:formatCode>
                <c:ptCount val="5"/>
                <c:pt idx="0">
                  <c:v>0.18823529411764706</c:v>
                </c:pt>
                <c:pt idx="1">
                  <c:v>0.4</c:v>
                </c:pt>
                <c:pt idx="2">
                  <c:v>0.24705882352941178</c:v>
                </c:pt>
                <c:pt idx="3">
                  <c:v>0.10588235294117647</c:v>
                </c:pt>
                <c:pt idx="4">
                  <c:v>5.8823529411764705E-2</c:v>
                </c:pt>
              </c:numCache>
            </c:numRef>
          </c:val>
          <c:extLst>
            <c:ext xmlns:c16="http://schemas.microsoft.com/office/drawing/2014/chart" uri="{C3380CC4-5D6E-409C-BE32-E72D297353CC}">
              <c16:uniqueId val="{00000000-75AD-498E-81B1-9D127ACC8661}"/>
            </c:ext>
          </c:extLst>
        </c:ser>
        <c:dLbls>
          <c:dLblPos val="outEnd"/>
          <c:showLegendKey val="0"/>
          <c:showVal val="1"/>
          <c:showCatName val="0"/>
          <c:showSerName val="0"/>
          <c:showPercent val="0"/>
          <c:showBubbleSize val="0"/>
        </c:dLbls>
        <c:gapWidth val="219"/>
        <c:overlap val="-27"/>
        <c:axId val="1984034687"/>
        <c:axId val="1984010143"/>
      </c:barChart>
      <c:catAx>
        <c:axId val="19840346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4010143"/>
        <c:crosses val="autoZero"/>
        <c:auto val="1"/>
        <c:lblAlgn val="ctr"/>
        <c:lblOffset val="100"/>
        <c:noMultiLvlLbl val="0"/>
      </c:catAx>
      <c:valAx>
        <c:axId val="198401014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840346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C"/>
              <a:t>Ganancias</a:t>
            </a:r>
            <a:r>
              <a:rPr lang="es-EC" baseline="0"/>
              <a:t> mensuales</a:t>
            </a:r>
            <a:endParaRPr lang="es-EC"/>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C"/>
        </a:p>
      </c:txPr>
    </c:title>
    <c:autoTitleDeleted val="0"/>
    <c:plotArea>
      <c:layout/>
      <c:barChart>
        <c:barDir val="col"/>
        <c:grouping val="clustered"/>
        <c:varyColors val="0"/>
        <c:ser>
          <c:idx val="0"/>
          <c:order val="0"/>
          <c:tx>
            <c:strRef>
              <c:f>Hoja1!$B$1</c:f>
              <c:strCache>
                <c:ptCount val="1"/>
                <c:pt idx="0">
                  <c:v>Ingresos iniciales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Enero</c:v>
                </c:pt>
                <c:pt idx="1">
                  <c:v>Febrero</c:v>
                </c:pt>
                <c:pt idx="2">
                  <c:v>Marzo</c:v>
                </c:pt>
                <c:pt idx="3">
                  <c:v>Abril</c:v>
                </c:pt>
              </c:strCache>
            </c:strRef>
          </c:cat>
          <c:val>
            <c:numRef>
              <c:f>Hoja1!$B$2:$B$5</c:f>
              <c:numCache>
                <c:formatCode>"$"#,##0.00</c:formatCode>
                <c:ptCount val="4"/>
                <c:pt idx="0">
                  <c:v>969.14</c:v>
                </c:pt>
                <c:pt idx="1">
                  <c:v>1551.77</c:v>
                </c:pt>
                <c:pt idx="2">
                  <c:v>469.49</c:v>
                </c:pt>
                <c:pt idx="3">
                  <c:v>135.35</c:v>
                </c:pt>
              </c:numCache>
            </c:numRef>
          </c:val>
          <c:extLst>
            <c:ext xmlns:c16="http://schemas.microsoft.com/office/drawing/2014/chart" uri="{C3380CC4-5D6E-409C-BE32-E72D297353CC}">
              <c16:uniqueId val="{00000000-F965-4524-BBEB-4D77FFE40C74}"/>
            </c:ext>
          </c:extLst>
        </c:ser>
        <c:ser>
          <c:idx val="1"/>
          <c:order val="1"/>
          <c:tx>
            <c:strRef>
              <c:f>Hoja1!$C$1</c:f>
              <c:strCache>
                <c:ptCount val="1"/>
                <c:pt idx="0">
                  <c:v>Dinero en disputas ganadas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Enero</c:v>
                </c:pt>
                <c:pt idx="1">
                  <c:v>Febrero</c:v>
                </c:pt>
                <c:pt idx="2">
                  <c:v>Marzo</c:v>
                </c:pt>
                <c:pt idx="3">
                  <c:v>Abril</c:v>
                </c:pt>
              </c:strCache>
            </c:strRef>
          </c:cat>
          <c:val>
            <c:numRef>
              <c:f>Hoja1!$C$2:$C$5</c:f>
              <c:numCache>
                <c:formatCode>"$"#,##0.00</c:formatCode>
                <c:ptCount val="4"/>
                <c:pt idx="0">
                  <c:v>832.67</c:v>
                </c:pt>
                <c:pt idx="1">
                  <c:v>1211.45</c:v>
                </c:pt>
                <c:pt idx="2">
                  <c:v>402.15</c:v>
                </c:pt>
                <c:pt idx="3">
                  <c:v>120.12</c:v>
                </c:pt>
              </c:numCache>
            </c:numRef>
          </c:val>
          <c:extLst>
            <c:ext xmlns:c16="http://schemas.microsoft.com/office/drawing/2014/chart" uri="{C3380CC4-5D6E-409C-BE32-E72D297353CC}">
              <c16:uniqueId val="{00000001-F965-4524-BBEB-4D77FFE40C74}"/>
            </c:ext>
          </c:extLst>
        </c:ser>
        <c:dLbls>
          <c:showLegendKey val="0"/>
          <c:showVal val="1"/>
          <c:showCatName val="0"/>
          <c:showSerName val="0"/>
          <c:showPercent val="0"/>
          <c:showBubbleSize val="0"/>
        </c:dLbls>
        <c:gapWidth val="247"/>
        <c:overlap val="-27"/>
        <c:axId val="1908439296"/>
        <c:axId val="1908435968"/>
      </c:barChart>
      <c:lineChart>
        <c:grouping val="standard"/>
        <c:varyColors val="0"/>
        <c:ser>
          <c:idx val="2"/>
          <c:order val="2"/>
          <c:tx>
            <c:strRef>
              <c:f>Hoja1!$D$1</c:f>
              <c:strCache>
                <c:ptCount val="1"/>
                <c:pt idx="0">
                  <c:v>Dinero en disputas perdidas</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Enero</c:v>
                </c:pt>
                <c:pt idx="1">
                  <c:v>Febrero</c:v>
                </c:pt>
                <c:pt idx="2">
                  <c:v>Marzo</c:v>
                </c:pt>
                <c:pt idx="3">
                  <c:v>Abril</c:v>
                </c:pt>
              </c:strCache>
            </c:strRef>
          </c:cat>
          <c:val>
            <c:numRef>
              <c:f>Hoja1!$D$2:$D$5</c:f>
              <c:numCache>
                <c:formatCode>"$"#,##0.00</c:formatCode>
                <c:ptCount val="4"/>
                <c:pt idx="0">
                  <c:v>136.47</c:v>
                </c:pt>
                <c:pt idx="1">
                  <c:v>340.32</c:v>
                </c:pt>
                <c:pt idx="2">
                  <c:v>67.34</c:v>
                </c:pt>
                <c:pt idx="3">
                  <c:v>15.23</c:v>
                </c:pt>
              </c:numCache>
            </c:numRef>
          </c:val>
          <c:smooth val="0"/>
          <c:extLst>
            <c:ext xmlns:c16="http://schemas.microsoft.com/office/drawing/2014/chart" uri="{C3380CC4-5D6E-409C-BE32-E72D297353CC}">
              <c16:uniqueId val="{00000002-F965-4524-BBEB-4D77FFE40C74}"/>
            </c:ext>
          </c:extLst>
        </c:ser>
        <c:dLbls>
          <c:showLegendKey val="0"/>
          <c:showVal val="1"/>
          <c:showCatName val="0"/>
          <c:showSerName val="0"/>
          <c:showPercent val="0"/>
          <c:showBubbleSize val="0"/>
        </c:dLbls>
        <c:marker val="1"/>
        <c:smooth val="0"/>
        <c:axId val="1908439296"/>
        <c:axId val="1908435968"/>
      </c:lineChart>
      <c:catAx>
        <c:axId val="1908439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08435968"/>
        <c:crosses val="autoZero"/>
        <c:auto val="1"/>
        <c:lblAlgn val="ctr"/>
        <c:lblOffset val="100"/>
        <c:noMultiLvlLbl val="0"/>
      </c:catAx>
      <c:valAx>
        <c:axId val="1908435968"/>
        <c:scaling>
          <c:orientation val="minMax"/>
        </c:scaling>
        <c:delete val="0"/>
        <c:axPos val="l"/>
        <c:majorGridlines>
          <c:spPr>
            <a:ln w="9525" cap="flat" cmpd="sng" algn="ctr">
              <a:solidFill>
                <a:schemeClr val="tx1">
                  <a:lumMod val="15000"/>
                  <a:lumOff val="85000"/>
                </a:schemeClr>
              </a:solidFill>
              <a:round/>
            </a:ln>
            <a:effectLst/>
          </c:spPr>
        </c:majorGridlines>
        <c:numFmt formatCode="&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908439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dk1">
            <a:lumMod val="75000"/>
            <a:lumOff val="25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dk1">
            <a:lumMod val="75000"/>
            <a:lumOff val="25000"/>
          </a:schemeClr>
        </a:solidFill>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1</b:RefOrder>
  </b:Source>
  <b:Source>
    <b:Tag>Abd21</b:Tag>
    <b:SourceType>JournalArticle</b:SourceType>
    <b:Guid>{B288B76D-4A32-427C-B6AE-A0AE1412633E}</b:Guid>
    <b:Author>
      <b:Author>
        <b:NameList>
          <b:Person>
            <b:Last>Hannousse</b:Last>
            <b:First>Abdelhakim</b:First>
          </b:Person>
          <b:Person>
            <b:Last>Yahiouche</b:Last>
            <b:First>Salima</b:First>
          </b:Person>
        </b:NameList>
      </b:Author>
    </b:Author>
    <b:Title>Securing microservices and microservice architectures: A systematic mapping study</b:Title>
    <b:JournalName>Computer Science Review</b:JournalName>
    <b:Year>2021</b:Year>
    <b:Volume>41</b:Volume>
    <b:RefOrder>2</b:RefOrder>
  </b:Source>
  <b:Source>
    <b:Tag>Nun21</b:Tag>
    <b:SourceType>JournalArticle</b:SourceType>
    <b:Guid>{84888389-D46D-4A34-A2C5-CC01EA8C02BB}</b:Guid>
    <b:Author>
      <b:Author>
        <b:NameList>
          <b:Person>
            <b:Last>Mateus-Coelho</b:Last>
            <b:First>Nuno</b:First>
          </b:Person>
          <b:Person>
            <b:Last>Cruz-Cunha</b:Last>
            <b:First>Manuela</b:First>
          </b:Person>
          <b:Person>
            <b:Last>Ferreira</b:Last>
            <b:First>Luis</b:First>
            <b:Middle>Gonzaga</b:Middle>
          </b:Person>
        </b:NameList>
      </b:Author>
    </b:Author>
    <b:Title>Security in Microservices Architectures</b:Title>
    <b:JournalName>Procedia Computer Science</b:JournalName>
    <b:Year>2021</b:Year>
    <b:Pages>1225-1236</b:Pages>
    <b:Volume>181</b:Volume>
    <b:RefOrder>3</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4</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5</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6</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7</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8</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10</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11</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12</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13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14</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15</b:RefOrder>
  </b:Source>
  <b:Source>
    <b:Tag>Yan19</b:Tag>
    <b:SourceType>JournalArticle</b:SourceType>
    <b:Guid>{2E52356A-2FC9-485B-8823-ED6879BE1EF6}</b:Guid>
    <b:Author>
      <b:Author>
        <b:NameList>
          <b:Person>
            <b:Last>Lu</b:Last>
            <b:First>Yang</b:First>
          </b:Person>
        </b:NameList>
      </b:Author>
    </b:Author>
    <b:Title>The blockchain: State-of-the-art and research challenges</b:Title>
    <b:JournalName>Journal of Industrial Information Integration</b:JournalName>
    <b:Year>2019</b:Year>
    <b:Pages>80-90</b:Pages>
    <b:RefOrder>16</b:RefOrder>
  </b:Source>
  <b:Source>
    <b:Tag>QiF19</b:Tag>
    <b:SourceType>JournalArticle</b:SourceType>
    <b:Guid>{CCB3959B-25D0-4BFD-AF82-121B9E50AAEB}</b:Guid>
    <b:Author>
      <b:Author>
        <b:NameList>
          <b:Person>
            <b:Last>Feng</b:Last>
            <b:First>Qi</b:First>
          </b:Person>
          <b:Person>
            <b:Last>He</b:Last>
            <b:First>Debiao</b:First>
          </b:Person>
          <b:Person>
            <b:Last>Zeadally</b:Last>
            <b:First>Sherali</b:First>
          </b:Person>
          <b:Person>
            <b:Last>Khan</b:Last>
            <b:First>Muhammad</b:First>
            <b:Middle>Khurram</b:Middle>
          </b:Person>
          <b:Person>
            <b:Last>Kumar</b:Last>
            <b:First>Neeraj</b:First>
          </b:Person>
        </b:NameList>
      </b:Author>
    </b:Author>
    <b:Title>A survey on privacy protection in blockchain system</b:Title>
    <b:JournalName>Journal of Network and Computer Applications</b:JournalName>
    <b:Year>2019</b:Year>
    <b:Pages>45-58</b:Pages>
    <b:Volume>126</b:Volume>
    <b:RefOrder>17</b:RefOrder>
  </b:Source>
  <b:Source>
    <b:Tag>HND19</b:Tag>
    <b:SourceType>JournalArticle</b:SourceType>
    <b:Guid>{042F8BF5-DEDA-4B74-B3A0-E850F7DA5348}</b:Guid>
    <b:Author>
      <b:Author>
        <b:NameList>
          <b:Person>
            <b:Last>Dai</b:Last>
            <b:First>H.</b:First>
            <b:Middle>-N.</b:Middle>
          </b:Person>
          <b:Person>
            <b:Last>Zheng</b:Last>
            <b:First>Z.</b:First>
          </b:Person>
          <b:Person>
            <b:Last>Zhang</b:Last>
            <b:First>Y.</b:First>
          </b:Person>
        </b:NameList>
      </b:Author>
    </b:Author>
    <b:Title>Blockchain for Internet of Things: A Survey</b:Title>
    <b:JournalName>IEEE Internet of Things Journal</b:JournalName>
    <b:Year>2019</b:Year>
    <b:Pages>8076-8094</b:Pages>
    <b:Volume>6</b:Volume>
    <b:Issue>5</b:Issue>
    <b:RefOrder>18</b:RefOrder>
  </b:Source>
  <b:Source>
    <b:Tag>GSa19</b:Tag>
    <b:SourceType>JournalArticle</b:SourceType>
    <b:Guid>{B81E47B1-CC0B-4A69-923B-7EE18E2DD3E3}</b:Guid>
    <b:Author>
      <b:Author>
        <b:NameList>
          <b:Person>
            <b:Last>Sargsyan</b:Last>
            <b:First>G.</b:First>
          </b:Person>
          <b:Person>
            <b:Last>Castellon</b:Last>
            <b:First>N.</b:First>
          </b:Person>
          <b:Person>
            <b:Last>Binnendijk</b:Last>
            <b:First>R.</b:First>
          </b:Person>
          <b:Person>
            <b:Last>Cozijnsen</b:Last>
            <b:First>P.</b:First>
          </b:Person>
        </b:NameList>
      </b:Author>
    </b:Author>
    <b:Title>Blockchain Security by Design Framework for Trust and Adoption in IoT Environment</b:Title>
    <b:JournalName>2019 IEEE World Congress on Services (SERVICES)</b:JournalName>
    <b:Year>2019</b:Year>
    <b:Pages>15-20</b:Pages>
    <b:RefOrder>19</b:RefOrder>
  </b:Source>
  <b:Source>
    <b:Tag>Yan202</b:Tag>
    <b:SourceType>JournalArticle</b:SourceType>
    <b:Guid>{990F9CC1-97BB-4BB3-A1E7-9FCC71A929D9}</b:Guid>
    <b:Author>
      <b:Author>
        <b:NameList>
          <b:Person>
            <b:Last>Yang</b:Last>
            <b:First>Rebecca</b:First>
          </b:Person>
          <b:Person>
            <b:Last>Wakefield</b:Last>
            <b:First>Ron</b:First>
          </b:Person>
          <b:Person>
            <b:Last>Lyu</b:Last>
            <b:First>Sainan</b:First>
          </b:Person>
          <b:Person>
            <b:Last>Jayasuriya</b:Last>
            <b:First>Sajani</b:First>
          </b:Person>
          <b:Person>
            <b:Last>Han</b:Last>
            <b:First>Fengling</b:First>
          </b:Person>
          <b:Person>
            <b:Last>Yi</b:Last>
            <b:First>Xun</b:First>
          </b:Person>
          <b:Person>
            <b:Last>Yang</b:Last>
            <b:First>Xuechao</b:First>
          </b:Person>
          <b:Person>
            <b:Last>Amarasinghe</b:Last>
            <b:First>Gayashan</b:First>
          </b:Person>
          <b:Person>
            <b:Last>Chen</b:Last>
            <b:First>Shiping</b:First>
          </b:Person>
        </b:NameList>
      </b:Author>
    </b:Author>
    <b:Title>Public and private blockchain in construction business process and information integration</b:Title>
    <b:JournalName>Automation in Construction</b:JournalName>
    <b:Year>2020</b:Year>
    <b:Volume>118</b:Volume>
    <b:DOI>https://doi.org/10.1016/j.autcon.2020.103276</b:DOI>
    <b:RefOrder>20</b:RefOrder>
  </b:Source>
  <b:Source>
    <b:Tag>Abd20</b:Tag>
    <b:SourceType>JournalArticle</b:SourceType>
    <b:Guid>{66E1F8C9-5C77-4AB3-9C6C-AF62251B91D4}</b:Guid>
    <b:Author>
      <b:Author>
        <b:NameList>
          <b:Person>
            <b:Last>Abdi</b:Last>
            <b:First>Adam</b:First>
            <b:Middle>Ibrahim</b:Middle>
          </b:Person>
          <b:Person>
            <b:Last>Eassa</b:Last>
            <b:First>Fathy</b:First>
            <b:Middle>Elbouraey</b:Middle>
          </b:Person>
          <b:Person>
            <b:Last>Jambi</b:Last>
            <b:First>Kamal</b:First>
          </b:Person>
          <b:Person>
            <b:Last>Almarhabi</b:Last>
            <b:First>Khalid</b:First>
          </b:Person>
          <b:Person>
            <b:Last>AL-Ghamdi</b:Last>
            <b:First>Abdullah</b:First>
            <b:Middle>Saad AL-Malaise</b:Middle>
          </b:Person>
        </b:NameList>
      </b:Author>
    </b:Author>
    <b:Title>Blockchain Platforms and Access Control Classification for IoT Systems</b:Title>
    <b:JournalName>Symmetry</b:JournalName>
    <b:Year>2020</b:Year>
    <b:Volume>12</b:Volume>
    <b:Issue>10</b:Issue>
    <b:RefOrder>21</b:RefOrder>
  </b:Source>
  <b:Source>
    <b:Tag>DCN20</b:Tag>
    <b:SourceType>JournalArticle</b:SourceType>
    <b:Guid>{A55C9592-7369-4AA5-99F1-C7669954ADB4}</b:Guid>
    <b:Author>
      <b:Author>
        <b:NameList>
          <b:Person>
            <b:Last>Nguyen</b:Last>
            <b:First>D.</b:First>
            <b:Middle>C.</b:Middle>
          </b:Person>
          <b:Person>
            <b:Last>Pathirana</b:Last>
            <b:First>P.</b:First>
            <b:Middle>N.</b:Middle>
          </b:Person>
          <b:Person>
            <b:Last>Ding</b:Last>
            <b:First>M.</b:First>
          </b:Person>
          <b:Person>
            <b:Last>Seneviratne</b:Last>
            <b:First>A.</b:First>
          </b:Person>
        </b:NameList>
      </b:Author>
    </b:Author>
    <b:Title>Integration of Blockchain and Cloud of Things: Architecture, Applications and Challenges</b:Title>
    <b:JournalName>IEEE Communications Surveys &amp; Tutorials</b:JournalName>
    <b:Year>2020</b:Year>
    <b:Pages>2521-2549</b:Pages>
    <b:Volume>22</b:Volume>
    <b:Issue>4</b:Issue>
    <b:RefOrder>22</b:RefOrder>
  </b:Source>
  <b:Source>
    <b:Tag>Xin18</b:Tag>
    <b:SourceType>JournalArticle</b:SourceType>
    <b:Guid>{0B83BA4A-1AD7-4E23-8FC6-7BFEE786CB49}</b:Guid>
    <b:Author>
      <b:Author>
        <b:NameList>
          <b:Person>
            <b:Last>Fan</b:Last>
            <b:First>Xinxin</b:First>
          </b:Person>
          <b:Person>
            <b:Last>Chai</b:Last>
            <b:First>Qi</b:First>
          </b:Person>
        </b:NameList>
      </b:Author>
    </b:Author>
    <b:Title>Roll-DPoS: A Randomized Delegated Proof of Stake Scheme for Scalable Blockchain-Based Internet of Things Systems</b:Title>
    <b:JournalName>In Proceedings of the 15th EAI International Conference on Mobile and Ubiquitous Systems: Computing, Networking and Services (MobiQuitous '18)</b:JournalName>
    <b:Year>2018</b:Year>
    <b:RefOrder>23</b:RefOrder>
  </b:Source>
  <b:Source>
    <b:Tag>Ale201</b:Tag>
    <b:SourceType>JournalArticle</b:SourceType>
    <b:Guid>{617F8FDB-EB7E-4633-BC06-D81C99842283}</b:Guid>
    <b:Author>
      <b:Author>
        <b:NameList>
          <b:Person>
            <b:Last>Pieroni</b:Last>
            <b:First>Alessandra</b:First>
          </b:Person>
          <b:Person>
            <b:Last>Scarpato</b:Last>
            <b:First>Noemi</b:First>
          </b:Person>
          <b:Person>
            <b:Last>Felli</b:Last>
            <b:First>Lorenzo</b:First>
          </b:Person>
        </b:NameList>
      </b:Author>
    </b:Author>
    <b:Title>Blockchain and IoT Convergence—A Systematic Survey on Technologies, Protocols and Security</b:Title>
    <b:JournalName>Applied Sciences</b:JournalName>
    <b:Year>2020</b:Year>
    <b:Volume>10</b:Volume>
    <b:Issue>19</b:Issue>
    <b:RefOrder>24</b:RefOrder>
  </b:Source>
  <b:Source>
    <b:Tag>Lan211</b:Tag>
    <b:SourceType>JournalArticle</b:SourceType>
    <b:Guid>{5986FC81-E906-4739-9A67-472D17FF91FA}</b:Guid>
    <b:Title>Analysis of smart contracts balances</b:Title>
    <b:JournalName>Blockchain: Research and Applications</b:JournalName>
    <b:Year>2021</b:Year>
    <b:Author>
      <b:Author>
        <b:NameList>
          <b:Person>
            <b:Last>Laneve</b:Last>
            <b:First>Cosimo</b:First>
          </b:Person>
          <b:Person>
            <b:Last>Coen</b:Last>
            <b:First>Claudio</b:First>
            <b:Middle>Sacerdoti</b:Middle>
          </b:Person>
        </b:NameList>
      </b:Author>
    </b:Author>
    <b:DOI>https://doi.org/10.1016/j.bcra.2021.100020</b:DOI>
    <b:RefOrder>25</b:RefOrder>
  </b:Source>
  <b:Source>
    <b:Tag>Qin21</b:Tag>
    <b:SourceType>JournalArticle</b:SourceType>
    <b:Guid>{2D88FF75-9035-40A3-85FF-BDD0DEFADF24}</b:Guid>
    <b:Author>
      <b:Author>
        <b:NameList>
          <b:Person>
            <b:Last>Wang</b:Last>
            <b:First>Qin</b:First>
          </b:Person>
          <b:Person>
            <b:Last>Li</b:Last>
            <b:First>Rujia</b:First>
          </b:Person>
          <b:Person>
            <b:Last>Wang</b:Last>
            <b:First>Qi</b:First>
          </b:Person>
          <b:Person>
            <b:Last>Chen</b:Last>
            <b:First>Shiping</b:First>
          </b:Person>
        </b:NameList>
      </b:Author>
    </b:Author>
    <b:Title>Non-Fungible Token (NFT): Overview, Evaluation, Opportunities and Challenges</b:Title>
    <b:JournalName>Cryptography and Security</b:JournalName>
    <b:Year>2021</b:Year>
    <b:RefOrder>26</b:RefOrder>
  </b:Source>
  <b:Source>
    <b:Tag>Tha21</b:Tag>
    <b:SourceType>JournalArticle</b:SourceType>
    <b:Guid>{40857171-CC0F-4E4E-8298-217B31EBA581}</b:Guid>
    <b:Author>
      <b:Author>
        <b:NameList>
          <b:Person>
            <b:Last>Hewa</b:Last>
            <b:First>Tharaka</b:First>
          </b:Person>
          <b:Person>
            <b:Last>Ylianttila</b:Last>
            <b:First>Mika</b:First>
          </b:Person>
          <b:Person>
            <b:Last>Liyanage</b:Last>
            <b:First>Madhusanka</b:First>
          </b:Person>
        </b:NameList>
      </b:Author>
    </b:Author>
    <b:Title>Survey on blockchain based smart contracts: Applications, opportunities and challenges</b:Title>
    <b:JournalName>Journal of Network and Computer Applications</b:JournalName>
    <b:Year>2021</b:Year>
    <b:Volume>177</b:Volume>
    <b:RefOrder>27</b:RefOrder>
  </b:Source>
  <b:Source>
    <b:Tag>Kha20</b:Tag>
    <b:SourceType>JournalArticle</b:SourceType>
    <b:Guid>{9D497B0D-13DD-44F1-935D-D1CA513D3F27}</b:Guid>
    <b:Title>Tokenization of sukuk: Ethereum case study</b:Title>
    <b:Year>2020</b:Year>
    <b:Author>
      <b:Author>
        <b:NameList>
          <b:Person>
            <b:Last>Khan</b:Last>
            <b:First>Nida</b:First>
          </b:Person>
          <b:Person>
            <b:Last>Kchouri</b:Last>
            <b:First>Bilal</b:First>
          </b:Person>
          <b:Person>
            <b:Last>Yatoo</b:Last>
            <b:First>Nissar</b:First>
            <b:Middle>Ahmad</b:Middle>
          </b:Person>
          <b:Person>
            <b:Last>Kräussl</b:Last>
            <b:First>Zsofia</b:First>
          </b:Person>
          <b:Person>
            <b:Last>Patel</b:Last>
            <b:First>Anass</b:First>
          </b:Person>
          <b:Person>
            <b:Last>State</b:Last>
            <b:First>Radu</b:First>
          </b:Person>
        </b:NameList>
      </b:Author>
    </b:Author>
    <b:JournalName>Global Finance Journal</b:JournalName>
    <b:DOI>https://doi.org/10.1016/j.gfj.2020.100539</b:DOI>
    <b:RefOrder>28</b:RefOrder>
  </b:Source>
  <b:Source>
    <b:Tag>Tat21</b:Tag>
    <b:SourceType>InternetSite</b:SourceType>
    <b:Guid>{4AB50B84-9E3A-41E7-A1B3-D0C45E101789}</b:Guid>
    <b:Title>Welcome to Tatum</b:Title>
    <b:Year>2021</b:Year>
    <b:Author>
      <b:Author>
        <b:NameList>
          <b:Person>
            <b:Last>Tatum</b:Last>
          </b:Person>
        </b:NameList>
      </b:Author>
    </b:Author>
    <b:YearAccessed>2021</b:YearAccessed>
    <b:MonthAccessed>11</b:MonthAccessed>
    <b:DayAccessed>02</b:DayAccessed>
    <b:URL>https://docs.tatum.io/</b:URL>
    <b:RefOrder>29</b:RefOrder>
  </b:Source>
  <b:Source>
    <b:Tag>Tat211</b:Tag>
    <b:SourceType>InternetSite</b:SourceType>
    <b:Guid>{B0F069DD-8091-45A5-8D53-7C83152F1A49}</b:Guid>
    <b:Author>
      <b:Author>
        <b:NameList>
          <b:Person>
            <b:Last>Tatum</b:Last>
          </b:Person>
        </b:NameList>
      </b:Author>
    </b:Author>
    <b:Title>Supported Blockchains</b:Title>
    <b:Year>2021</b:Year>
    <b:YearAccessed>2021</b:YearAccessed>
    <b:MonthAccessed>11</b:MonthAccessed>
    <b:DayAccessed>02</b:DayAccessed>
    <b:URL>https://docs.tatum.io/supported-blockchains</b:URL>
    <b:RefOrder>30</b:RefOrder>
  </b:Source>
  <b:Source>
    <b:Tag>Sen19</b:Tag>
    <b:SourceType>JournalArticle</b:SourceType>
    <b:Guid>{DEECEF18-CF7E-4754-996A-1F4607EA2157}</b:Guid>
    <b:Author>
      <b:Author>
        <b:NameList>
          <b:Person>
            <b:Last>Sengupta</b:Last>
            <b:First>Saumendra</b:First>
          </b:Person>
          <b:Person>
            <b:Last>Chiang</b:Last>
            <b:First>Chen-Fu</b:First>
          </b:Person>
          <b:Person>
            <b:Last>Andriamanalimanana</b:Last>
            <b:First>Bruno</b:First>
          </b:Person>
          <b:Person>
            <b:Last>Novillo</b:Last>
            <b:First>Jorge</b:First>
          </b:Person>
          <b:Person>
            <b:Last>Tekeoglu</b:Last>
            <b:First>Ali</b:First>
          </b:Person>
        </b:NameList>
      </b:Author>
    </b:Author>
    <b:Title>A Hybrid Adaptive Transaction Injection Protocol and Its Optimization for Verification-Based Decentralized System</b:Title>
    <b:JournalName>Future Internet</b:JournalName>
    <b:Year>2019</b:Year>
    <b:Volume>11</b:Volume>
    <b:Issue>8</b:Issue>
    <b:RefOrder>31</b:RefOrder>
  </b:Source>
  <b:Source>
    <b:Tag>KYe18</b:Tag>
    <b:SourceType>JournalArticle</b:SourceType>
    <b:Guid>{C154F72D-3ACE-4D33-AB8E-4E887C6CE413}</b:Guid>
    <b:Author>
      <b:Author>
        <b:NameList>
          <b:Person>
            <b:Last>Yeow</b:Last>
            <b:First>K.</b:First>
          </b:Person>
          <b:Person>
            <b:Last>Gani</b:Last>
            <b:First>A.</b:First>
          </b:Person>
          <b:Person>
            <b:Last>Ahmad</b:Last>
            <b:First>R.</b:First>
            <b:Middle>W.</b:Middle>
          </b:Person>
          <b:Person>
            <b:Last>Rodrigues</b:Last>
            <b:First>J.</b:First>
            <b:Middle>J. P. C.</b:Middle>
          </b:Person>
          <b:Person>
            <b:Last>Ko</b:Last>
            <b:First>K.</b:First>
          </b:Person>
        </b:NameList>
      </b:Author>
    </b:Author>
    <b:Title>Decentralized Consensus for Edge-Centric Internet of Things: A Review, Taxonomy, and Research Issues</b:Title>
    <b:JournalName>IEEE Access</b:JournalName>
    <b:Year>2018</b:Year>
    <b:Pages>1513-1524</b:Pages>
    <b:Volume>6</b:Volume>
    <b:RefOrder>32</b:RefOrder>
  </b:Source>
  <b:Source>
    <b:Tag>Jay20</b:Tag>
    <b:SourceType>JournalArticle</b:SourceType>
    <b:Guid>{0C0BE771-1DAE-4012-B6C3-B4472A985009}</b:Guid>
    <b:Author>
      <b:Author>
        <b:NameList>
          <b:Person>
            <b:Last>Sengupta</b:Last>
            <b:First>Jayasree</b:First>
          </b:Person>
          <b:Person>
            <b:Last>Ruj</b:Last>
            <b:First>Sushmita</b:First>
          </b:Person>
          <b:Person>
            <b:Last>Bit</b:Last>
            <b:First>Sipra</b:First>
            <b:Middle>Das</b:Middle>
          </b:Person>
        </b:NameList>
      </b:Author>
    </b:Author>
    <b:Title>A Comprehensive Survey on Attacks, Security Issues and Blockchain Solutions for IoT and IIoT</b:Title>
    <b:JournalName>Journal of Network and Computer Applications</b:JournalName>
    <b:Year>2020</b:Year>
    <b:Volume>149</b:Volume>
    <b:RefOrder>33</b:RefOrder>
  </b:Source>
  <b:Source>
    <b:Tag>Ser21</b:Tag>
    <b:SourceType>JournalArticle</b:SourceType>
    <b:Guid>{EF7223F3-87F5-4081-B20D-60858A53B800}</b:Guid>
    <b:Author>
      <b:Author>
        <b:NameList>
          <b:Person>
            <b:Last>Popov</b:Last>
            <b:First>Serguei</b:First>
          </b:Person>
          <b:Person>
            <b:Last>Buchanan</b:Last>
            <b:First>William</b:First>
          </b:Person>
        </b:NameList>
      </b:Author>
    </b:Author>
    <b:Title>FPC-BI: Fast Probabilistic Consensus within Byzantine Infrastructures</b:Title>
    <b:JournalName>arXiv</b:JournalName>
    <b:Year>2021</b:Year>
    <b:RefOrder>34</b:RefOrder>
  </b:Source>
  <b:Source>
    <b:Tag>Ser19</b:Tag>
    <b:SourceType>JournalArticle</b:SourceType>
    <b:Guid>{441C4B53-6DE4-49C3-BBA7-83B832AEC6CF}</b:Guid>
    <b:Author>
      <b:Author>
        <b:NameList>
          <b:Person>
            <b:Last>Popov</b:Last>
            <b:First>Serguei</b:First>
          </b:Person>
        </b:NameList>
      </b:Author>
    </b:Author>
    <b:Title>IOTA: Feeless and Free</b:Title>
    <b:JournalName>IEEE Blockchain Technical Briefs</b:JournalName>
    <b:Year>2019</b:Year>
    <b:RefOrder>35</b:RefOrder>
  </b:Source>
  <b:Source>
    <b:Tag>Pan18</b:Tag>
    <b:SourceType>JournalArticle</b:SourceType>
    <b:Guid>{B86A9FDC-1604-42C4-B067-52B6A8324C95}</b:Guid>
    <b:Author>
      <b:Author>
        <b:NameList>
          <b:Person>
            <b:Last>Panarello</b:Last>
            <b:First>Alfonso</b:First>
          </b:Person>
          <b:Person>
            <b:Last>Tapas</b:Last>
            <b:First>Nachiket</b:First>
          </b:Person>
          <b:Person>
            <b:Last>Merlino</b:Last>
            <b:First>Giovanni</b:First>
          </b:Person>
          <b:Person>
            <b:Last>Longo</b:Last>
            <b:First>Francesco</b:First>
          </b:Person>
          <b:Person>
            <b:Last>Puliafito</b:Last>
            <b:First>Antonio</b:First>
          </b:Person>
        </b:NameList>
      </b:Author>
    </b:Author>
    <b:Title>Blockchain and IoT Integration: A Systematic Survey</b:Title>
    <b:Year>2018</b:Year>
    <b:JournalName>Sensors</b:JournalName>
    <b:Volume>18</b:Volume>
    <b:Issue>8</b:Issue>
    <b:RefOrder>36</b:RefOrder>
  </b:Source>
  <b:Source>
    <b:Tag>IOT19</b:Tag>
    <b:SourceType>DocumentFromInternetSite</b:SourceType>
    <b:Guid>{864F410D-13CE-4668-99CB-A464C221C71E}</b:Guid>
    <b:Title>The Coordicide</b:Title>
    <b:Year>2019</b:Year>
    <b:Author>
      <b:Author>
        <b:NameList>
          <b:Person>
            <b:Last>Foundation</b:Last>
            <b:First>IOTA</b:First>
          </b:Person>
        </b:NameList>
      </b:Author>
    </b:Author>
    <b:URL>https://files.iota.org/papers/20200120_Coordicide_WP.pdf</b:URL>
    <b:RefOrder>37</b:RefOrder>
  </b:Source>
  <b:Source>
    <b:Tag>Kho21</b:Tag>
    <b:SourceType>JournalArticle</b:SourceType>
    <b:Guid>{A82C7D9B-9613-448B-B725-32CE88531F2A}</b:Guid>
    <b:Author>
      <b:Author>
        <b:NameList>
          <b:Person>
            <b:Last>Khor</b:Last>
            <b:First>J.</b:First>
            <b:Middle>H.</b:Middle>
          </b:Person>
          <b:Person>
            <b:Last>Sidorov</b:Last>
            <b:First>M.</b:First>
          </b:Person>
          <b:Person>
            <b:Last>Woon</b:Last>
            <b:First>P.</b:First>
            <b:Middle>Y.</b:Middle>
          </b:Person>
        </b:NameList>
      </b:Author>
    </b:Author>
    <b:Title>Public Blockchains for Resource-Constrained IoT Devices—A State-of-the-Art Survey</b:Title>
    <b:Year>2021</b:Year>
    <b:JournalName>IEEE Internet of Things Journal</b:JournalName>
    <b:Pages>11960-11982</b:Pages>
    <b:Volume>8</b:Volume>
    <b:Issue>15</b:Issue>
    <b:RefOrder>38</b:RefOrder>
  </b:Source>
  <b:Source>
    <b:Tag>IOT212</b:Tag>
    <b:SourceType>InternetSite</b:SourceType>
    <b:Guid>{2B5E6397-D74F-4A66-AD1F-096DC9E0F8F4}</b:Guid>
    <b:Title>The new Chrysalis Network is Live!</b:Title>
    <b:Year>2021</b:Year>
    <b:Author>
      <b:Author>
        <b:NameList>
          <b:Person>
            <b:Last>Foundation</b:Last>
            <b:First>IOTA</b:First>
          </b:Person>
        </b:NameList>
      </b:Author>
    </b:Author>
    <b:ProductionCompany>IOTA</b:ProductionCompany>
    <b:YearAccessed>2021</b:YearAccessed>
    <b:URL>https://blog.iota.org/the-new-chrysalis-network-is-live/</b:URL>
    <b:RefOrder>39</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40</b:RefOrder>
  </b:Source>
  <b:Source>
    <b:Tag>IOT20</b:Tag>
    <b:SourceType>InternetSite</b:SourceType>
    <b:Guid>{5D8E5CBE-E671-4C8C-871F-5366067B8AB5}</b:Guid>
    <b:Title>Introducing IOTA Stronghold</b:Title>
    <b:Year>2020</b:Year>
    <b:Author>
      <b:Author>
        <b:NameList>
          <b:Person>
            <b:Last>Team</b:Last>
            <b:First>IOTA</b:First>
          </b:Person>
        </b:NameList>
      </b:Author>
    </b:Author>
    <b:Month>07</b:Month>
    <b:Day>19</b:Day>
    <b:YearAccessed>2022</b:YearAccessed>
    <b:MonthAccessed>01</b:MonthAccessed>
    <b:DayAccessed>20</b:DayAccessed>
    <b:URL>https://blog.iota.org/iota-stronghold-6ce55d311d7c/</b:URL>
    <b:RefOrder>41</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42</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43</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44</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45</b:RefOrder>
  </b:Source>
  <b:Source>
    <b:Tag>Sha20</b:Tag>
    <b:SourceType>JournalArticle</b:SourceType>
    <b:Guid>{D9C2A8DA-FCDD-40EC-9775-E42F6D1BF1B1}</b:Guid>
    <b:Author>
      <b:Author>
        <b:NameList>
          <b:Person>
            <b:Last>Shariffuddin</b:Last>
            <b:First>Norli</b:First>
          </b:Person>
          <b:Person>
            <b:Last>Mohamed</b:Last>
            <b:First>Azlinah</b:First>
          </b:Person>
        </b:NameList>
      </b:Author>
    </b:Author>
    <b:Title>IT Security and IT Governance Alignment: A Review</b:Title>
    <b:JournalName>In Proceedings of the 3rd International Conference on Networking, Information Systems &amp; Security (NISS2020)</b:JournalName>
    <b:Year>2020</b:Year>
    <b:Pages>1-8</b:Pages>
    <b:DOI>https://doi.org/10.1145/3386723.3387843</b:DOI>
    <b:RefOrder>46</b:RefOrder>
  </b:Source>
  <b:Source>
    <b:Tag>Tir19</b:Tag>
    <b:SourceType>JournalArticle</b:SourceType>
    <b:Guid>{839F0363-6D20-477A-9ABB-F84290CD5EC4}</b:Guid>
    <b:Author>
      <b:Author>
        <b:NameList>
          <b:Person>
            <b:Last>Tirumala</b:Last>
            <b:First>S.</b:First>
            <b:Middle>S.</b:Middle>
          </b:Person>
          <b:Person>
            <b:Last>Valluri</b:Last>
            <b:First>M.</b:First>
            <b:Middle>R.</b:Middle>
          </b:Person>
          <b:Person>
            <b:Last>Babu</b:Last>
            <b:First>G.</b:First>
          </b:Person>
        </b:NameList>
      </b:Author>
    </b:Author>
    <b:Title>A survey on cybersecurity awareness concerns, practices and conceptual measures</b:Title>
    <b:JournalName>2019 International Conference on Computer Communication and Informatics (ICCCI)</b:JournalName>
    <b:Year>2019</b:Year>
    <b:Pages>1-6</b:Pages>
    <b:DOI>10.1109/ICCCI.2019.8821951</b:DOI>
    <b:RefOrder>47</b:RefOrder>
  </b:Source>
  <b:Source>
    <b:Tag>YLu19</b:Tag>
    <b:SourceType>JournalArticle</b:SourceType>
    <b:Guid>{CB913438-F7EA-4004-ADE6-5DDF0EC3B1AA}</b:Guid>
    <b:Author>
      <b:Author>
        <b:NameList>
          <b:Person>
            <b:Last>Lu</b:Last>
            <b:First>Y.</b:First>
          </b:Person>
          <b:Person>
            <b:Last>Xu</b:Last>
            <b:First>L.</b:First>
            <b:Middle>D.</b:Middle>
          </b:Person>
        </b:NameList>
      </b:Author>
    </b:Author>
    <b:Title>Internet of Things (IoT) Cybersecurity Research: A Review of Current Research Topics</b:Title>
    <b:JournalName>IEEE Internet of Things Journal</b:JournalName>
    <b:Year>2019</b:Year>
    <b:Pages>2103-2115</b:Pages>
    <b:Volume>6</b:Volume>
    <b:Issue>2</b:Issue>
    <b:RefOrder>48</b:RefOrder>
  </b:Source>
  <b:Source>
    <b:Tag>Wan201</b:Tag>
    <b:SourceType>JournalArticle</b:SourceType>
    <b:Guid>{77CE2B0F-0CE8-4060-AEBD-EC824F4A4712}</b:Guid>
    <b:Author>
      <b:Author>
        <b:NameList>
          <b:Person>
            <b:Last>Wang</b:Last>
            <b:First>Z.</b:First>
          </b:Person>
          <b:Person>
            <b:Last>Sun</b:Last>
            <b:First>L.</b:First>
          </b:Person>
          <b:Person>
            <b:Last>Zhu</b:Last>
            <b:First>H.</b:First>
          </b:Person>
        </b:NameList>
      </b:Author>
    </b:Author>
    <b:Title>Defining Social Engineering in Cybersecurity</b:Title>
    <b:JournalName>IEEE Access</b:JournalName>
    <b:Year>2020</b:Year>
    <b:Pages>85094-85115</b:Pages>
    <b:Volume>20</b:Volume>
    <b:DOI>10.1109/ACCESS.2020.2992807</b:DOI>
    <b:RefOrder>49</b:RefOrder>
  </b:Source>
  <b:Source>
    <b:Tag>Mam201</b:Tag>
    <b:SourceType>JournalArticle</b:SourceType>
    <b:Guid>{77424B71-732D-4028-9BD7-914C7A8E1FB9}</b:Guid>
    <b:Author>
      <b:Author>
        <b:NameList>
          <b:Person>
            <b:Last>Humayun</b:Last>
            <b:First>Mamoona</b:First>
          </b:Person>
          <b:Person>
            <b:Last>Niazi</b:Last>
            <b:First>Mahmood</b:First>
          </b:Person>
          <b:Person>
            <b:Last>Jhanjhi</b:Last>
            <b:First>NZ</b:First>
          </b:Person>
          <b:Person>
            <b:Last>Alshayeb</b:Last>
            <b:First>Mohammad</b:First>
          </b:Person>
          <b:Person>
            <b:Last>Mahmood</b:Last>
            <b:First>Sajjad</b:First>
          </b:Person>
        </b:NameList>
      </b:Author>
    </b:Author>
    <b:Title>Cyber Security Threats and Vulnerabilities: A Systematic Mapping Study</b:Title>
    <b:JournalName>Arabian Journal for Science and Engineering</b:JournalName>
    <b:Year>2020</b:Year>
    <b:Pages>3171–3189</b:Pages>
    <b:Volume>45</b:Volume>
    <b:RefOrder>50</b:RefOrder>
  </b:Source>
  <b:Source>
    <b:Tag>And18</b:Tag>
    <b:SourceType>JournalArticle</b:SourceType>
    <b:Guid>{CCD6A15B-DC30-4D5B-9C57-688EE9D12125}</b:Guid>
    <b:Author>
      <b:Author>
        <b:NameList>
          <b:Person>
            <b:Last>Tundis</b:Last>
            <b:First>Andrea</b:First>
          </b:Person>
          <b:Person>
            <b:Last>Mazurczyk</b:Last>
            <b:First>Wojciech</b:First>
          </b:Person>
          <b:Person>
            <b:Last>Mühlhäuser</b:Last>
            <b:First>Max</b:First>
          </b:Person>
        </b:NameList>
      </b:Author>
    </b:Author>
    <b:Title>A review of network vulnerabilities scanning tools: types, capabilities and functioning</b:Title>
    <b:JournalName>In Proceedings of the 13th International Conference on Availability, Reliability and Security (ARES 2018)</b:JournalName>
    <b:Year>2018</b:Year>
    <b:Pages>1–10</b:Pages>
    <b:RefOrder>51</b:RefOrder>
  </b:Source>
  <b:Source>
    <b:Tag>Kum19</b:Tag>
    <b:SourceType>JournalArticle</b:SourceType>
    <b:Guid>{A93925EC-C50F-4070-BF40-23737EB9E3D4}</b:Guid>
    <b:Author>
      <b:Author>
        <b:NameList>
          <b:Person>
            <b:Last>Kumar</b:Last>
            <b:First>Rakesh</b:First>
          </b:Person>
          <b:Person>
            <b:Last>Goyal</b:Last>
            <b:First>Rinkaj</b:First>
          </b:Person>
        </b:NameList>
      </b:Author>
    </b:Author>
    <b:Title>On cloud security requirements, threats, vulnerabilities and countermeasures: A survey</b:Title>
    <b:JournalName>Computer Science Review</b:JournalName>
    <b:Year>2019</b:Year>
    <b:Pages>1-48</b:Pages>
    <b:Volume>33</b:Volume>
    <b:DOI>https://doi.org/10.1016/j.cosrev.2019.05.002</b:DOI>
    <b:RefOrder>52</b:RefOrder>
  </b:Source>
  <b:Source>
    <b:Tag>PYa20</b:Tag>
    <b:SourceType>JournalArticle</b:SourceType>
    <b:Guid>{8B6E982A-65C0-4925-993E-1B27FF71888E}</b:Guid>
    <b:Author>
      <b:Author>
        <b:NameList>
          <b:Person>
            <b:Last>P. Yang</b:Last>
            <b:First>N.</b:First>
            <b:Middle>Xiong and J. Ren</b:Middle>
          </b:Person>
        </b:NameList>
      </b:Author>
    </b:Author>
    <b:Title>Data Security and Privacy Protection for Cloud Storage: A Survey</b:Title>
    <b:JournalName>IEEE Access</b:JournalName>
    <b:Year>2020</b:Year>
    <b:Pages>131723-131740</b:Pages>
    <b:Volume>8</b:Volume>
    <b:RefOrder>53</b:RefOrder>
  </b:Source>
  <b:Source>
    <b:Tag>Mum19</b:Tag>
    <b:SourceType>JournalArticle</b:SourceType>
    <b:Guid>{33FCED0A-DB13-4A19-8026-E621128C1F65}</b:Guid>
    <b:Author>
      <b:Author>
        <b:NameList>
          <b:Person>
            <b:Last>Majid</b:Last>
            <b:First>Mumtaz</b:First>
          </b:Person>
          <b:Person>
            <b:Last>Luo</b:Last>
            <b:First>Ping</b:First>
          </b:Person>
        </b:NameList>
      </b:Author>
    </b:Author>
    <b:Title>Forty years of attacks on the RSA cryptosystem: A brief survey</b:Title>
    <b:JournalName>Journal of Discrete Mathematical Sciences and Cryptography</b:JournalName>
    <b:Year>2019</b:Year>
    <b:Pages>9-29</b:Pages>
    <b:RefOrder>54</b:RefOrder>
  </b:Source>
  <b:Source>
    <b:Tag>Pun16</b:Tag>
    <b:SourceType>JournalArticle</b:SourceType>
    <b:Guid>{463C0F9E-C2DE-403C-811F-C17475BDAE85}</b:Guid>
    <b:Author>
      <b:Author>
        <b:NameList>
          <b:Person>
            <b:Last>Kumar</b:Last>
            <b:First>Puneet</b:First>
          </b:Person>
          <b:Person>
            <b:Last>Rana</b:Last>
            <b:First>Shashi</b:First>
            <b:Middle>B.</b:Middle>
          </b:Person>
        </b:NameList>
      </b:Author>
    </b:Author>
    <b:Title>Development of modified AES algorithm for data security</b:Title>
    <b:JournalName>Optik,</b:JournalName>
    <b:Year>2016</b:Year>
    <b:Pages>2341-2345</b:Pages>
    <b:Volume>127</b:Volume>
    <b:Issue>4</b:Issue>
    <b:RefOrder>55</b:RefOrder>
  </b:Source>
  <b:Source>
    <b:Tag>Mrs21</b:Tag>
    <b:SourceType>JournalArticle</b:SourceType>
    <b:Guid>{6A50DCE0-C85C-435A-A2CC-FFA60E481B66}</b:Guid>
    <b:Author>
      <b:Author>
        <b:NameList>
          <b:Person>
            <b:Last>Hire</b:Last>
            <b:First>Mrs</b:First>
            <b:Middle>Dnyanada</b:Middle>
          </b:Person>
          <b:Person>
            <b:Last>Bhatt</b:Last>
            <b:First>Monika</b:First>
          </b:Person>
          <b:Person>
            <b:Last>Anand</b:Last>
            <b:First>Mohit</b:First>
          </b:Person>
          <b:Person>
            <b:Last>Harde</b:Last>
            <b:First>Chaitanya</b:First>
          </b:Person>
        </b:NameList>
      </b:Author>
    </b:Author>
    <b:Title>Literature Survey of Two-Way Authentication System</b:Title>
    <b:JournalName>International Journal of Scientific Research &amp; Engineering Trends</b:JournalName>
    <b:Year>2021</b:Year>
    <b:Volume>7</b:Volume>
    <b:Issue>2</b:Issue>
    <b:RefOrder>56</b:RefOrder>
  </b:Source>
  <b:Source>
    <b:Tag>Hus17</b:Tag>
    <b:SourceType>JournalArticle</b:SourceType>
    <b:Guid>{0149B17D-B7C6-4789-A565-D806F12E0479}</b:Guid>
    <b:Author>
      <b:Author>
        <b:NameList>
          <b:Person>
            <b:Last>Huseynov</b:Last>
            <b:First>Emin</b:First>
          </b:Person>
          <b:Person>
            <b:Last>Seigneur</b:Last>
            <b:First>Jean-Marc</b:First>
          </b:Person>
        </b:NameList>
      </b:Author>
    </b:Author>
    <b:Title>Chapter 50 - Context-Aware Multifactor Authentication Survey</b:Title>
    <b:JournalName>Computer and Information Security Handbook (Third Edition)</b:JournalName>
    <b:Year>2017</b:Year>
    <b:Pages>715-726</b:Pages>
    <b:Publisher>Computer and Information Security Handbook (Third Edition)</b:Publisher>
    <b:RefOrder>57</b:RefOrder>
  </b:Source>
  <b:Source>
    <b:Tag>Ste21</b:Tag>
    <b:SourceType>JournalArticle</b:SourceType>
    <b:Guid>{AC76BBA5-63AF-4961-B4E4-9C86BCE169C3}</b:Guid>
    <b:Author>
      <b:Author>
        <b:NameList>
          <b:Person>
            <b:Last>Steinmetz</b:Last>
            <b:First>Kevin</b:First>
            <b:Middle>F.</b:Middle>
          </b:Person>
          <b:Person>
            <b:Last>Pimentel</b:Last>
            <b:First>Alexandra</b:First>
          </b:Person>
          <b:Person>
            <b:Last>Goe</b:Last>
            <b:First>W.</b:First>
            <b:Middle>Richard</b:Middle>
          </b:Person>
        </b:NameList>
      </b:Author>
    </b:Author>
    <b:Title>Performing social engineering: A qualitative study of information security deceptions</b:Title>
    <b:JournalName>Computers in Human Behavior</b:JournalName>
    <b:Year>2021</b:Year>
    <b:Volume>124</b:Volume>
    <b:DOI>https://doi.org/10.1016/j.chb.2021.106930</b:DOI>
    <b:RefOrder>58</b:RefOrder>
  </b:Source>
  <b:Source>
    <b:Tag>LiJ17</b:Tag>
    <b:SourceType>JournalArticle</b:SourceType>
    <b:Guid>{D66463E7-9EED-4E1D-91D2-F439555485A6}</b:Guid>
    <b:Author>
      <b:Author>
        <b:NameList>
          <b:Person>
            <b:Last>Li</b:Last>
            <b:First>Jiangtao</b:First>
          </b:Person>
          <b:Person>
            <b:Last>Zhang</b:Last>
            <b:First>Lei</b:First>
          </b:Person>
        </b:NameList>
      </b:Author>
    </b:Author>
    <b:Title>Sender dynamic, non-repudiable, privacy-preserving and strong secure group communication protocol</b:Title>
    <b:JournalName>Information Sciences</b:JournalName>
    <b:Year>2017</b:Year>
    <b:Pages>187-202</b:Pages>
    <b:Volume>414</b:Volume>
    <b:DOI>https://doi.org/10.1016/j.ins.2017.06.003</b:DOI>
    <b:RefOrder>59</b:RefOrder>
  </b:Source>
  <b:Source>
    <b:Tag>LBa20</b:Tag>
    <b:SourceType>Book</b:SourceType>
    <b:Guid>{6FCE3056-3A28-48F5-B827-07BC9B830050}</b:Guid>
    <b:Author>
      <b:Author>
        <b:NameList>
          <b:Person>
            <b:Last>L.</b:Last>
            <b:First>Baresi</b:First>
          </b:Person>
          <b:Person>
            <b:Last>M.</b:Last>
            <b:First>Garriga</b:First>
          </b:Person>
        </b:NameList>
      </b:Author>
    </b:Author>
    <b:Title>Microservices: The Evolution and Extinction of Web Services?</b:Title>
    <b:Year>2020</b:Year>
    <b:Publisher>Springer, Cham</b:Publisher>
    <b:RefOrder>60</b:RefOrder>
  </b:Source>
  <b:Source>
    <b:Tag>Ima18</b:Tag>
    <b:SourceType>JournalArticle</b:SourceType>
    <b:Guid>{6A75813B-7D38-42BA-B380-9816C26BD49D}</b:Guid>
    <b:Author>
      <b:Author>
        <b:NameList>
          <b:Person>
            <b:Last>Sadgali</b:Last>
            <b:First>Imane</b:First>
          </b:Person>
          <b:Person>
            <b:Last>Sael</b:Last>
            <b:First>Nawal</b:First>
          </b:Person>
          <b:Person>
            <b:Last>Benabbou</b:Last>
            <b:First>Faouzia</b:First>
          </b:Person>
        </b:NameList>
      </b:Author>
    </b:Author>
    <b:Title>Detection of credit card fraud: State of art </b:Title>
    <b:JournalName>IJCSNS International Journal of Computer Science and Network Security</b:JournalName>
    <b:Year>2018</b:Year>
    <b:Volume>18</b:Volume>
    <b:Issue>11</b:Issue>
    <b:RefOrder>61</b:RefOrder>
  </b:Source>
  <b:Source>
    <b:Tag>ABC</b:Tag>
    <b:SourceType>JournalArticle</b:SourceType>
    <b:Guid>{AC67155C-7E55-4A59-879B-6E3193D443F5}</b:Guid>
    <b:Title>ABCDE - agile Block Chain DApp Engineering</b:Title>
    <b:Author>
      <b:Author>
        <b:NameList>
          <b:Person>
            <b:Last>Marchesi</b:Last>
            <b:First>Lodovica</b:First>
          </b:Person>
          <b:Person>
            <b:Last>Marchesi</b:Last>
            <b:First>Michele</b:First>
          </b:Person>
          <b:Person>
            <b:Last>Tonelli</b:Last>
            <b:First>Roberto</b:First>
          </b:Person>
        </b:NameList>
      </b:Author>
    </b:Author>
    <b:JournalName>Blockchain: Research and Applications</b:JournalName>
    <b:Year>2020</b:Year>
    <b:Volume>1</b:Volume>
    <b:Issue>1</b:Issue>
    <b:RefOrder>62</b:RefOrder>
  </b:Source>
  <b:Source>
    <b:Tag>APi21</b:Tag>
    <b:SourceType>JournalArticle</b:SourceType>
    <b:Guid>{153FD4EC-6C75-4AD8-8905-F449BBAE33AF}</b:Guid>
    <b:Author>
      <b:Author>
        <b:NameList>
          <b:Person>
            <b:Last>Pinna</b:Last>
            <b:First>A.</b:First>
          </b:Person>
          <b:Person>
            <b:Last>Baralla</b:Last>
            <b:First>G.</b:First>
          </b:Person>
          <b:Person>
            <b:Last>Marchesi</b:Last>
            <b:First>M.</b:First>
          </b:Person>
          <b:Person>
            <b:Last>Tonelli</b:Last>
            <b:First>R.</b:First>
          </b:Person>
        </b:NameList>
      </b:Author>
    </b:Author>
    <b:Title>Raising Sustainability Awareness in Agile Blockchain-Oriented Software Engineering</b:Title>
    <b:JournalName>IEEE International Conference on Software Analysis, Evolution and Reengineering (SANER)</b:JournalName>
    <b:Year>2021</b:Year>
    <b:Pages>696-700</b:Pages>
    <b:RefOrder>63</b:RefOrder>
  </b:Source>
  <b:Source>
    <b:Tag>Mic18</b:Tag>
    <b:SourceType>JournalArticle</b:SourceType>
    <b:Guid>{22B62A47-C1D5-406B-9C6D-14931625F5FF}</b:Guid>
    <b:Author>
      <b:Author>
        <b:NameList>
          <b:Person>
            <b:Last>Marchesi</b:Last>
            <b:First>Michele</b:First>
          </b:Person>
          <b:Person>
            <b:Last>Marchesi</b:Last>
            <b:First>Lodovica</b:First>
          </b:Person>
          <b:Person>
            <b:Last>Tonelli</b:Last>
            <b:First>Roberto</b:First>
          </b:Person>
        </b:NameList>
      </b:Author>
    </b:Author>
    <b:Title>An Agile Software Engineering Method to Design Blockchain Applications</b:Title>
    <b:JournalName>Association for Computing Machinery</b:JournalName>
    <b:Year>2018</b:Year>
    <b:RefOrder>64</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152</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153</b:RefOrder>
  </b:Source>
  <b:Source>
    <b:Tag>Sam14</b:Tag>
    <b:SourceType>Book</b:SourceType>
    <b:Guid>{9E8F0C4D-38F6-4276-854C-A2396582E2B4}</b:Guid>
    <b:Title>Metodología de la investigación</b:Title>
    <b:Year>2014</b:Year>
    <b:Author>
      <b:Author>
        <b:NameList>
          <b:Person>
            <b:Last>Sampieri</b:Last>
            <b:First>Roberto</b:First>
          </b:Person>
        </b:NameList>
      </b:Author>
    </b:Author>
    <b:City>México</b:City>
    <b:Publisher>McGraw Hill</b:Publisher>
    <b:RefOrder>154</b:RefOrder>
  </b:Source>
  <b:Source>
    <b:Tag>Rod17</b:Tag>
    <b:SourceType>JournalArticle</b:SourceType>
    <b:Guid>{D81AC826-020C-4728-B0DE-645003CDBB20}</b:Guid>
    <b:Author>
      <b:Author>
        <b:NameList>
          <b:Person>
            <b:Last>Rodríguez Jiménez</b:Last>
            <b:First>Andrés</b:First>
          </b:Person>
          <b:Person>
            <b:Last>Pérez Jacinto</b:Last>
            <b:First>Alipio</b:First>
            <b:Middle>Omar</b:Middle>
          </b:Person>
        </b:NameList>
      </b:Author>
    </b:Author>
    <b:Title>Métodos científicos de indagación y de construcción del conocimiento</b:Title>
    <b:JournalName>Revista Escuela de Administración de Negocios</b:JournalName>
    <b:Year>2017</b:Year>
    <b:Pages> 1-26</b:Pages>
    <b:Issue>82</b:Issue>
    <b:RefOrder>155</b:RefOrder>
  </b:Source>
  <b:Source>
    <b:Tag>Van14</b:Tag>
    <b:SourceType>JournalArticle</b:SourceType>
    <b:Guid>{FAB51FF8-67DA-44FA-9068-5B06FA39AE66}</b:Guid>
    <b:Author>
      <b:Author>
        <b:NameList>
          <b:Person>
            <b:Last>Berger</b:Last>
            <b:First>Vance</b:First>
            <b:Middle>W.</b:Middle>
          </b:Person>
          <b:Person>
            <b:Last>Zhou</b:Last>
            <b:First>YanYan</b:First>
          </b:Person>
        </b:NameList>
      </b:Author>
    </b:Author>
    <b:Title>Kolmogorov–Smirnov Test: Overview</b:Title>
    <b:JournalName>Wiley Online Library</b:JournalName>
    <b:Year>2014</b:Year>
    <b:RefOrder>156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65</b:RefOrder>
  </b:Source>
</b:Sources>
</file>

<file path=customXml/itemProps1.xml><?xml version="1.0" encoding="utf-8"?>
<ds:datastoreItem xmlns:ds="http://schemas.openxmlformats.org/officeDocument/2006/customXml" ds:itemID="{D4CBD189-699F-45A8-91D6-0E9427702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2139</Words>
  <Characters>11767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2022-04-20T16:36:00Z</dcterms:created>
  <dcterms:modified xsi:type="dcterms:W3CDTF">2022-04-20T16:39:00Z</dcterms:modified>
</cp:coreProperties>
</file>