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5 — Risk &amp; Vulnerability Assessment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F172A"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1619250"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866775"/>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LoneStar DevOps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LoneStar DevOps, LLC</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color w:val="1A1A1A"/>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90500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1019175"/>
                    </a:xfrm>
                    <a:prstGeom prst="rect">
                      <a:avLst/>
                    </a:prstGeom>
                  </pic:spPr>
                </pic:pic>
              </a:graphicData>
            </a:graphic>
          </wp:inline>
        </w:drawing>
      </w:r>
    </w:p>
    <w:p>
      <w:pPr>
        <w:spacing w:after="40" w:before="80"/>
        <w:jc w:val="center"/>
      </w:pPr>
      <w:r>
        <w:rPr>
          <w:rFonts w:ascii="Roboto Slab" w:cs="Roboto Slab" w:eastAsia="Roboto Slab" w:hAnsi="Roboto Slab"/>
          <w:b/>
          <w:bCs/>
          <w:color w:val="0F172A"/>
          <w:sz w:val="30"/>
          <w:szCs w:val="30"/>
        </w:rPr>
        <w:t xml:space="preserve">LONESTAR DEVOPS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F172A"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Risk &amp; Vulnerability Assessment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5 — Risk &amp; Vulnerability Assessment</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LoneStar DevOps, LLC</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LoneStar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references, properly formatted. CVE entries, vendor advisories, NIST publications, and tool documentation all count. Format consistently (APA is fine).</w:t>
      </w:r>
    </w:p>
    <w:p>
      <w:pPr>
        <w:pStyle w:val="ListParagraph"/>
        <w:numPr>
          <w:ilvl w:val="0"/>
          <w:numId w:val="3"/>
        </w:numPr>
        <w:spacing w:after="80"/>
      </w:pPr>
      <w:r>
        <w:rPr>
          <w:rFonts w:ascii="Roboto" w:cs="Roboto" w:eastAsia="Roboto" w:hAnsi="Roboto"/>
          <w:color w:val="1A1A1A"/>
          <w:sz w:val="22"/>
          <w:szCs w:val="22"/>
        </w:rPr>
        <w:t xml:space="preserve">[Reference 1]</w:t>
      </w:r>
    </w:p>
    <w:p>
      <w:pPr>
        <w:pStyle w:val="ListParagraph"/>
        <w:numPr>
          <w:ilvl w:val="0"/>
          <w:numId w:val="3"/>
        </w:numPr>
        <w:spacing w:after="80"/>
      </w:pPr>
      <w:r>
        <w:rPr>
          <w:rFonts w:ascii="Roboto" w:cs="Roboto" w:eastAsia="Roboto" w:hAnsi="Roboto"/>
          <w:color w:val="1A1A1A"/>
          <w:sz w:val="22"/>
          <w:szCs w:val="22"/>
        </w:rPr>
        <w:t xml:space="preserve">[Reference 2]</w:t>
      </w:r>
    </w:p>
    <w:p>
      <w:pPr>
        <w:pStyle w:val="ListParagraph"/>
        <w:numPr>
          <w:ilvl w:val="0"/>
          <w:numId w:val="3"/>
        </w:numPr>
        <w:spacing w:after="80"/>
      </w:pPr>
      <w:r>
        <w:rPr>
          <w:rFonts w:ascii="Roboto" w:cs="Roboto" w:eastAsia="Roboto" w:hAnsi="Roboto"/>
          <w:color w:val="1A1A1A"/>
          <w:sz w:val="22"/>
          <w:szCs w:val="22"/>
        </w:rPr>
        <w:t xml:space="preserve">[Reference 3]</w:t>
      </w:r>
    </w:p>
    <w:p>
      <w:pPr>
        <w:pStyle w:val="ListParagraph"/>
        <w:numPr>
          <w:ilvl w:val="0"/>
          <w:numId w:val="3"/>
        </w:numPr>
        <w:spacing w:after="80"/>
      </w:pPr>
      <w:r>
        <w:rPr>
          <w:rFonts w:ascii="Roboto" w:cs="Roboto" w:eastAsia="Roboto" w:hAnsi="Roboto"/>
          <w:color w:val="1A1A1A"/>
          <w:sz w:val="22"/>
          <w:szCs w:val="22"/>
        </w:rPr>
        <w:t xml:space="preserve">[Reference 4]</w:t>
      </w:r>
    </w:p>
    <w:p>
      <w:pPr>
        <w:pStyle w:val="ListParagraph"/>
        <w:numPr>
          <w:ilvl w:val="0"/>
          <w:numId w:val="3"/>
        </w:numPr>
        <w:spacing w:after="80"/>
      </w:pPr>
      <w:r>
        <w:rPr>
          <w:rFonts w:ascii="Roboto" w:cs="Roboto" w:eastAsia="Roboto" w:hAnsi="Roboto"/>
          <w:color w:val="1A1A1A"/>
          <w:sz w:val="22"/>
          <w:szCs w:val="22"/>
        </w:rPr>
        <w:t xml:space="preserve">[Reference 5]</w:t>
      </w:r>
    </w:p>
    <w:p>
      <w:pPr>
        <w:pStyle w:val="ListParagraph"/>
        <w:numPr>
          <w:ilvl w:val="0"/>
          <w:numId w:val="3"/>
        </w:numPr>
        <w:spacing w:after="80"/>
      </w:pPr>
      <w:r>
        <w:rPr>
          <w:rFonts w:ascii="Roboto" w:cs="Roboto" w:eastAsia="Roboto" w:hAnsi="Roboto"/>
          <w:color w:val="1A1A1A"/>
          <w:sz w:val="22"/>
          <w:szCs w:val="22"/>
        </w:rPr>
        <w:t xml:space="preserve">[Reference 6]</w:t>
      </w:r>
    </w:p>
    <w:p>
      <w:pPr>
        <w:pStyle w:val="ListParagraph"/>
        <w:numPr>
          <w:ilvl w:val="0"/>
          <w:numId w:val="3"/>
        </w:numPr>
        <w:spacing w:after="80"/>
      </w:pPr>
      <w:r>
        <w:rPr>
          <w:rFonts w:ascii="Roboto" w:cs="Roboto" w:eastAsia="Roboto" w:hAnsi="Roboto"/>
          <w:color w:val="1A1A1A"/>
          <w:sz w:val="22"/>
          <w:szCs w:val="22"/>
        </w:rPr>
        <w:t xml:space="preserve">[Reference 7]</w:t>
      </w:r>
    </w:p>
    <w:p>
      <w:pPr>
        <w:pStyle w:val="ListParagraph"/>
        <w:numPr>
          <w:ilvl w:val="0"/>
          <w:numId w:val="3"/>
        </w:numPr>
        <w:spacing w:after="80"/>
      </w:pPr>
      <w:r>
        <w:rPr>
          <w:rFonts w:ascii="Roboto" w:cs="Roboto" w:eastAsia="Roboto" w:hAnsi="Roboto"/>
          <w:color w:val="1A1A1A"/>
          <w:sz w:val="22"/>
          <w:szCs w:val="22"/>
        </w:rPr>
        <w:t xml:space="preserve">[Reference 8]</w:t>
      </w:r>
    </w:p>
    <w:p>
      <w:pPr>
        <w:pStyle w:val="ListParagraph"/>
        <w:numPr>
          <w:ilvl w:val="0"/>
          <w:numId w:val="3"/>
        </w:numPr>
        <w:spacing w:after="80"/>
      </w:pPr>
      <w:r>
        <w:rPr>
          <w:rFonts w:ascii="Roboto" w:cs="Roboto" w:eastAsia="Roboto" w:hAnsi="Roboto"/>
          <w:color w:val="1A1A1A"/>
          <w:sz w:val="22"/>
          <w:szCs w:val="22"/>
        </w:rPr>
        <w:t xml:space="preserve">[Reference 9]</w:t>
      </w:r>
    </w:p>
    <w:p>
      <w:pPr>
        <w:pStyle w:val="ListParagraph"/>
        <w:numPr>
          <w:ilvl w:val="0"/>
          <w:numId w:val="3"/>
        </w:numPr>
        <w:spacing w:after="80"/>
      </w:pPr>
      <w:r>
        <w:rPr>
          <w:rFonts w:ascii="Roboto" w:cs="Roboto" w:eastAsia="Roboto" w:hAnsi="Roboto"/>
          <w:color w:val="1A1A1A"/>
          <w:sz w:val="22"/>
          <w:szCs w:val="22"/>
        </w:rPr>
        <w:t xml:space="preserve">[Reference 10]</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LoneStar DevOps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d7d67a46fd31d53cd623bbab4d47d75aa448f15c.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5 — Risk &amp; Vulnerability Assessment</dc:description>
  <cp:lastModifiedBy>Un-named</cp:lastModifiedBy>
  <cp:revision>1</cp:revision>
  <dcterms:created xsi:type="dcterms:W3CDTF">2026-05-29T17:00:56.653Z</dcterms:created>
  <dcterms:modified xsi:type="dcterms:W3CDTF">2026-05-29T17:00:56.653Z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