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763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8572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Brazos Financial Group</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1619250"/>
                    </a:xfrm>
                    <a:prstGeom prst="rect">
                      <a:avLst/>
                    </a:prstGeom>
                  </pic:spPr>
                </pic:pic>
              </a:graphicData>
            </a:graphic>
          </wp:inline>
        </w:drawing>
      </w:r>
    </w:p>
    <w:p>
      <w:pPr>
        <w:spacing w:after="40" w:before="80"/>
        <w:jc w:val="center"/>
      </w:pPr>
      <w:r>
        <w:rPr>
          <w:rFonts w:ascii="Roboto Slab" w:cs="Roboto Slab" w:eastAsia="Roboto Slab" w:hAnsi="Roboto Slab"/>
          <w:b/>
          <w:bCs/>
          <w:color w:val="184D3A"/>
          <w:sz w:val="30"/>
          <w:szCs w:val="30"/>
        </w:rPr>
        <w:t xml:space="preserve">BRAZOS FINANCIAL GROUP</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Brazos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Brazos Financial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8cf8a555da954b0cbb8ea5c0259c7103002b2fc6.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