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t xml:space="preserve"/>
      </w:r>
    </w:p>
    <w:p>
      <w:pPr>
        <w:jc w:val="center"/>
      </w:pPr>
      <w:r>
        <w:drawing>
          <wp:inline distT="0" distB="0" distL="0" distR="0">
            <wp:extent cx="1257300" cy="1428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257300" cy="1428750"/>
                    </a:xfrm>
                    <a:prstGeom prst="rect">
                      <a:avLst/>
                    </a:prstGeom>
                  </pic:spPr>
                </pic:pic>
              </a:graphicData>
            </a:graphic>
          </wp:inline>
        </w:drawing>
      </w:r>
    </w:p>
    <w:p>
      <w:pPr>
        <w:spacing w:after="80"/>
      </w:pPr>
      <w:r>
        <w:t xml:space="preserve"/>
      </w:r>
    </w:p>
    <w:p>
      <w:pPr>
        <w:spacing w:after="40"/>
        <w:jc w:val="center"/>
      </w:pPr>
      <w:r>
        <w:rPr>
          <w:rFonts w:ascii="Roboto Slab" w:cs="Roboto Slab" w:eastAsia="Roboto Slab" w:hAnsi="Roboto Slab"/>
          <w:b/>
          <w:bCs/>
          <w:color w:val="1F4E79"/>
          <w:sz w:val="30"/>
          <w:szCs w:val="30"/>
        </w:rPr>
        <w:t xml:space="preserve">NEXUS SECURITY CONSULTING</w:t>
      </w:r>
    </w:p>
    <w:p>
      <w:pPr>
        <w:spacing w:after="320"/>
        <w:jc w:val="center"/>
      </w:pPr>
      <w:r>
        <w:rPr>
          <w:sz w:val="4"/>
          <w:szCs w:val="4"/>
        </w:rPr>
        <w:t xml:space="preserve"/>
      </w:r>
    </w:p>
    <w:tbl>
      <w:tblPr>
        <w:tblW w:type="pct" w:w="60%"/>
        <w:jc w:val="center"/>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C00000" w:val="clear"/>
            <w:tcMar>
              <w:top w:type="dxa" w:w="60"/>
              <w:bottom w:type="dxa" w:w="60"/>
            </w:tcMar>
          </w:tcPr>
          <w:p>
            <w:pPr>
              <w:jc w:val="center"/>
            </w:pPr>
            <w:r>
              <w:rPr>
                <w:rFonts w:ascii="Roboto" w:cs="Roboto" w:eastAsia="Roboto" w:hAnsi="Roboto"/>
                <w:b/>
                <w:bCs/>
                <w:color w:val="FFFFFF"/>
                <w:sz w:val="22"/>
                <w:szCs w:val="22"/>
              </w:rPr>
              <w:t xml:space="preserve">CONFIDENTIAL</w:t>
            </w:r>
          </w:p>
        </w:tc>
      </w:tr>
    </w:tbl>
    <w:p>
      <w:pPr>
        <w:spacing w:after="520"/>
      </w:pPr>
      <w:r>
        <w:t xml:space="preserve"/>
      </w:r>
    </w:p>
    <w:p>
      <w:pPr>
        <w:spacing w:after="80"/>
        <w:jc w:val="center"/>
      </w:pPr>
      <w:r>
        <w:rPr>
          <w:rFonts w:ascii="Roboto Slab" w:cs="Roboto Slab" w:eastAsia="Roboto Slab" w:hAnsi="Roboto Slab"/>
          <w:b/>
          <w:bCs/>
          <w:color w:val="1F4E79"/>
          <w:sz w:val="44"/>
          <w:szCs w:val="44"/>
        </w:rPr>
        <w:t xml:space="preserve">ENGAGEMENT PACKET</w:t>
      </w:r>
    </w:p>
    <w:p>
      <w:pPr>
        <w:spacing w:after="40"/>
        <w:jc w:val="center"/>
      </w:pPr>
      <w:fldSimple w:instr="DOCPROPERTY Title \* MERGEFORMAT"/>
    </w:p>
    <w:p>
      <w:pPr>
        <w:spacing w:after="360"/>
        <w:jc w:val="center"/>
      </w:pPr>
      <w:r>
        <w:rPr>
          <w:rFonts w:ascii="Roboto" w:cs="Roboto" w:eastAsia="Roboto" w:hAnsi="Roboto"/>
          <w:color w:val="595959"/>
          <w:sz w:val="24"/>
          <w:szCs w:val="24"/>
        </w:rPr>
        <w:t xml:space="preserve">Module 2 — Cryptographic Assessment</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0B7A75" w:val="clear"/>
            <w:tcMar>
              <w:top w:type="dxa" w:w="30"/>
              <w:bottom w:type="dxa" w:w="30"/>
            </w:tcMar>
          </w:tcPr>
          <w:p>
            <w:r>
              <w:rPr>
                <w:sz w:val="8"/>
                <w:szCs w:val="8"/>
              </w:rPr>
              <w:t xml:space="preserve"/>
            </w:r>
          </w:p>
        </w:tc>
      </w:tr>
    </w:tbl>
    <w:p>
      <w:pPr>
        <w:spacing w:after="200"/>
      </w:pPr>
      <w:r>
        <w:t xml:space="preserve"/>
      </w:r>
    </w:p>
    <w:p>
      <w:pPr>
        <w:jc w:val="center"/>
      </w:pPr>
      <w:r>
        <w:drawing>
          <wp:inline distT="0" distB="0" distL="0" distR="0">
            <wp:extent cx="847725" cy="971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847725" cy="971550"/>
                    </a:xfrm>
                    <a:prstGeom prst="rect">
                      <a:avLst/>
                    </a:prstGeom>
                  </pic:spPr>
                </pic:pic>
              </a:graphicData>
            </a:graphic>
          </wp:inline>
        </w:drawing>
      </w:r>
    </w:p>
    <w:p>
      <w:pPr>
        <w:spacing w:after="360" w:before="60"/>
        <w:jc w:val="center"/>
      </w:pPr>
      <w:r>
        <w:rPr>
          <w:rFonts w:ascii="Roboto" w:cs="Roboto" w:eastAsia="Roboto" w:hAnsi="Roboto"/>
          <w:i/>
          <w:iCs/>
          <w:color w:val="595959"/>
          <w:sz w:val="22"/>
          <w:szCs w:val="22"/>
        </w:rPr>
        <w:t xml:space="preserve">Prepared for Gulf Coast Healthcare Partners</w:t>
      </w:r>
    </w:p>
    <w:p>
      <w:pPr>
        <w:spacing w:after="360"/>
      </w:pPr>
      <w:r>
        <w:t xml:space="preserve"/>
      </w:r>
    </w:p>
    <w:tbl>
      <w:tblPr>
        <w:tblW w:type="pct" w:w="70%"/>
        <w:jc w:val="center"/>
        <w:tblBorders>
          <w:top w:val="single" w:color="D9D9D9" w:sz="4"/>
          <w:left w:val="single" w:color="D9D9D9" w:sz="4"/>
          <w:bottom w:val="single" w:color="D9D9D9" w:sz="4"/>
          <w:right w:val="single" w:color="D9D9D9" w:sz="4"/>
          <w:insideH w:val="single" w:color="D9D9D9" w:sz="4"/>
          <w:insideV w:val="single" w:color="D9D9D9" w:sz="4"/>
        </w:tblBorders>
      </w:tblPr>
      <w:tblGrid>
        <w:gridCol w:w="100"/>
        <w:gridCol w:w="100"/>
      </w:tblGrid>
      <w:tr>
        <w:tc>
          <w:tcPr>
            <w:tcW w:type="pct" w:w="35%"/>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Analyst / Student</w:t>
            </w:r>
          </w:p>
        </w:tc>
        <w:tc>
          <w:tcPr>
            <w:tcW w:type="pct" w:w="65%"/>
            <w:tcMar>
              <w:top w:type="dxa" w:w="60"/>
              <w:left w:type="dxa" w:w="110"/>
              <w:bottom w:type="dxa" w:w="60"/>
              <w:right w:type="dxa" w:w="110"/>
            </w:tcMar>
            <w:vAlign w:val="center"/>
          </w:tcPr>
          <w:p>
            <w:fldSimple w:instr="DOCPROPERTY Author \* MERGEFORMAT"/>
          </w:p>
        </w:tc>
      </w:tr>
      <w:tr>
        <w:tc>
          <w:tcPr>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Client</w:t>
            </w:r>
          </w:p>
        </w:tc>
        <w:tc>
          <w:tcPr>
            <w:tcMar>
              <w:top w:type="dxa" w:w="60"/>
              <w:left w:type="dxa" w:w="110"/>
              <w:bottom w:type="dxa" w:w="60"/>
              <w:right w:type="dxa" w:w="110"/>
            </w:tcMar>
            <w:vAlign w:val="center"/>
          </w:tcPr>
          <w:p>
            <w:r>
              <w:rPr>
                <w:rFonts w:ascii="Roboto" w:cs="Roboto" w:eastAsia="Roboto" w:hAnsi="Roboto"/>
                <w:color w:val="1A1A1A"/>
                <w:sz w:val="20"/>
                <w:szCs w:val="20"/>
              </w:rPr>
              <w:t xml:space="preserve">Gulf Coast Healthcare Partners</w:t>
            </w:r>
          </w:p>
        </w:tc>
      </w:tr>
      <w:tr>
        <w:tc>
          <w:tcPr>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abc123 (VM ID)</w:t>
            </w:r>
          </w:p>
        </w:tc>
        <w:tc>
          <w:tcPr>
            <w:tcMar>
              <w:top w:type="dxa" w:w="60"/>
              <w:left w:type="dxa" w:w="110"/>
              <w:bottom w:type="dxa" w:w="60"/>
              <w:right w:type="dxa" w:w="110"/>
            </w:tcMar>
            <w:vAlign w:val="center"/>
          </w:tcPr>
          <w:p>
            <w:fldSimple w:instr="DOCPROPERTY abc123 \* MERGEFORMAT"/>
          </w:p>
        </w:tc>
      </w:tr>
      <w:tr>
        <w:tc>
          <w:tcPr>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Date</w:t>
            </w:r>
          </w:p>
        </w:tc>
        <w:tc>
          <w:tcPr>
            <w:tcMar>
              <w:top w:type="dxa" w:w="60"/>
              <w:left w:type="dxa" w:w="110"/>
              <w:bottom w:type="dxa" w:w="60"/>
              <w:right w:type="dxa" w:w="110"/>
            </w:tcMar>
            <w:vAlign w:val="center"/>
          </w:tcPr>
          <w:p>
            <w:fldSimple w:instr="DATE \@ &quot;MMMM d, yyyy&quot;"/>
          </w:p>
        </w:tc>
      </w:tr>
    </w:tbl>
    <w:p>
      <w:pPr>
        <w:spacing w:after="120"/>
      </w:pPr>
      <w:r>
        <w:t xml:space="preserve"/>
      </w:r>
    </w:p>
    <w:p>
      <w:pPr>
        <w:pBdr>
          <w:left w:val="single" w:color="2E75B6" w:sz="18"/>
        </w:pBdr>
        <w:shd w:fill="F5F7FA" w:val="clear"/>
        <w:spacing w:after="120" w:line="276"/>
        <w:ind w:left="180"/>
      </w:pPr>
      <w:r>
        <w:rPr>
          <w:rFonts w:ascii="Roboto" w:cs="Roboto" w:eastAsia="Roboto" w:hAnsi="Roboto"/>
          <w:i/>
          <w:iCs/>
          <w:color w:val="595959"/>
          <w:sz w:val="20"/>
          <w:szCs w:val="20"/>
        </w:rPr>
        <w:t xml:space="preserve">Set two things once, before you submit. Author — Windows: File → Info, the Author box on the right. Mac: File → Properties… → Summary. Word appends your abc123 to the existing author instead of replacing it; that is expected, leave it. The abc123 custom property — Windows: File → Info → Properties → Advanced Properties → Custom. Mac: File → Properties… → Custom. Your abc123 must match the kali-abc123 hostname visible in your screenshots; it is how we tie this packet to your VM. Then refresh every field — Windows: Ctrl+A then F9. Mac: ⌘A then F9. If F9 does nothing, your keyboard’s function keys are set to media controls — hold Fn as well, or use the Fn Lock key. This is common on laptops, Windows and Mac alike.</w:t>
      </w:r>
    </w:p>
    <w:p>
      <w:pPr>
        <w:sectPr>
          <w:pgSz w:w="12240" w:h="15840" w:orient="portrait"/>
          <w:pgMar w:top="1440" w:right="1440" w:bottom="1440" w:left="1440" w:header="708" w:footer="708" w:gutter="0"/>
          <w:pgNumType/>
          <w:docGrid w:linePitch="360"/>
        </w:sectPr>
      </w:pPr>
    </w:p>
    <w:p>
      <w:pPr>
        <w:spacing w:after="200"/>
      </w:pPr>
      <w:r>
        <w:rPr>
          <w:rFonts w:ascii="Roboto Slab" w:cs="Roboto Slab" w:eastAsia="Roboto Slab" w:hAnsi="Roboto Slab"/>
          <w:b/>
          <w:bCs/>
          <w:color w:val="1F4E79"/>
          <w:sz w:val="32"/>
          <w:szCs w:val="32"/>
        </w:rPr>
        <w:t xml:space="preserve">Contents</w:t>
      </w:r>
    </w:p>
    <w:sdt>
      <w:sdtPr>
        <w:alias w:val="Table of Contents"/>
      </w:sdtPr>
      <w:sdtContent>
        <w:p>
          <w:r>
            <w:fldChar w:fldCharType="begin" w:dirty="true"/>
            <w:instrText xml:space="preserve">TOC \h \o "1-2"</w:instrText>
            <w:fldChar w:fldCharType="separate"/>
          </w:r>
        </w:p>
        <w:p>
          <w:r>
            <w:fldChar w:fldCharType="end"/>
          </w:r>
        </w:p>
      </w:sdtContent>
    </w:sdt>
    <w:p>
      <w:pPr>
        <w:pBdr>
          <w:left w:val="single" w:color="2E75B6" w:sz="18"/>
        </w:pBdr>
        <w:shd w:fill="F5F7FA" w:val="clear"/>
        <w:spacing w:after="120" w:line="276"/>
        <w:ind w:left="180"/>
      </w:pPr>
      <w:r>
        <w:rPr>
          <w:rFonts w:ascii="Roboto" w:cs="Roboto" w:eastAsia="Roboto" w:hAnsi="Roboto"/>
          <w:i/>
          <w:iCs/>
          <w:color w:val="595959"/>
          <w:sz w:val="20"/>
          <w:szCs w:val="20"/>
        </w:rPr>
        <w:t xml:space="preserve">This table of contents is auto-generated. After completing the packet, right-click it and choose Update Field → Update entire table. To refresh every field in the document at once — Windows: Ctrl+A then F9. Mac: ⌘A then F9. If F9 does nothing, your keyboard’s function keys are set to media controls — hold Fn as well, or use the Fn Lock key. This is common on laptops, Windows and Mac alike.</w:t>
      </w:r>
    </w:p>
    <w:p>
      <w:pPr>
        <w:sectPr>
          <w:type w:val="nextPage"/>
          <w:pgSz w:w="12240" w:h="15840" w:orient="portrait"/>
          <w:pgMar w:top="1440" w:right="1440" w:bottom="1440" w:left="1440" w:header="708" w:footer="708" w:gutter="0"/>
          <w:pgNumType/>
          <w:docGrid w:linePitch="360"/>
        </w:sectPr>
      </w:pPr>
    </w:p>
    <w:p>
      <w:pPr>
        <w:spacing w:after="80" w:before="200"/>
      </w:pPr>
      <w:r>
        <w:rPr>
          <w:rFonts w:ascii="Roboto Slab" w:cs="Roboto Slab" w:eastAsia="Roboto Slab" w:hAnsi="Roboto Slab"/>
          <w:b/>
          <w:bCs/>
          <w:color w:val="1F4E79"/>
          <w:sz w:val="48"/>
          <w:szCs w:val="48"/>
        </w:rPr>
        <w:t xml:space="preserve">PART I</w:t>
      </w:r>
    </w:p>
    <w:p>
      <w:pPr>
        <w:pBdr>
          <w:bottom w:val="single" w:color="1F4E79" w:sz="12"/>
        </w:pBdr>
        <w:spacing w:after="60"/>
      </w:pPr>
      <w:r>
        <w:rPr>
          <w:rFonts w:ascii="Roboto Slab" w:cs="Roboto Slab" w:eastAsia="Roboto Slab" w:hAnsi="Roboto Slab"/>
          <w:b/>
          <w:bCs/>
          <w:color w:val="1F4E79"/>
          <w:sz w:val="32"/>
          <w:szCs w:val="32"/>
        </w:rPr>
        <w:t xml:space="preserve">The Internal Packet</w:t>
      </w:r>
    </w:p>
    <w:p>
      <w:pPr>
        <w:spacing w:after="120" w:line="276"/>
      </w:pPr>
      <w:r>
        <w:rPr>
          <w:rFonts w:ascii="Roboto" w:cs="Roboto" w:eastAsia="Roboto" w:hAnsi="Roboto"/>
          <w:color w:val="1A1A1A"/>
          <w:sz w:val="22"/>
          <w:szCs w:val="22"/>
        </w:rPr>
        <w:t xml:space="preserve">Part I is what NEXUS keeps in the engagement file. It is internal — the client never sees it. Three components: your timesheet, your runbook, and your analyst reflection.</w:t>
      </w:r>
    </w:p>
    <w:p>
      <w:pPr>
        <w:pStyle w:val="Heading1"/>
        <w:pBdr>
          <w:bottom w:val="single" w:color="1F4E79" w:sz="8"/>
        </w:pBdr>
        <w:spacing w:after="160" w:before="320"/>
      </w:pPr>
      <w:r>
        <w:rPr>
          <w:rFonts w:ascii="Roboto Slab" w:cs="Roboto Slab" w:eastAsia="Roboto Slab" w:hAnsi="Roboto Slab"/>
          <w:b/>
          <w:bCs/>
          <w:color w:val="1F4E79"/>
          <w:sz w:val="30"/>
          <w:szCs w:val="30"/>
        </w:rPr>
        <w:t xml:space="preserve">A. NEXUS Timesheet</w:t>
      </w:r>
    </w:p>
    <w:p>
      <w:pPr>
        <w:spacing w:after="120" w:line="276"/>
      </w:pPr>
      <w:r>
        <w:rPr>
          <w:rFonts w:ascii="Roboto" w:cs="Roboto" w:eastAsia="Roboto" w:hAnsi="Roboto"/>
          <w:color w:val="1A1A1A"/>
          <w:sz w:val="22"/>
          <w:szCs w:val="22"/>
        </w:rPr>
        <w:t xml:space="preserve">Audience: NEXUS leadership / billing. Where did your hours go? Break hours out by unit, split between internal training (Units 1–2, non-billable) and client billable (Unit 3 fieldwork). Justify any unusually high or low hour count with a one-line note.</w:t>
      </w:r>
    </w:p>
    <w:p>
      <w:pPr>
        <w:pBdr>
          <w:left w:val="single" w:color="2E75B6" w:sz="18"/>
        </w:pBdr>
        <w:shd w:fill="F5F7FA" w:val="clear"/>
        <w:spacing w:after="120" w:line="276"/>
        <w:ind w:left="180"/>
      </w:pPr>
      <w:r>
        <w:rPr>
          <w:rFonts w:ascii="Roboto" w:cs="Roboto" w:eastAsia="Roboto" w:hAnsi="Roboto"/>
          <w:i/>
          <w:iCs/>
          <w:color w:val="595959"/>
          <w:sz w:val="20"/>
          <w:szCs w:val="20"/>
        </w:rPr>
        <w:t xml:space="preserve">If you logged hours honestly as you went, this is a 10-minute fill-in. If you reconstruct it the night before, it will show — your scan dates, screenshot timestamps, and command history won’t line up with your claimed hours. Replace the placeholder rows below with your own. Total the columns yourself.</w:t>
      </w:r>
    </w:p>
    <w:p>
      <w:pPr>
        <w:spacing w:after="80"/>
      </w:pPr>
      <w:r>
        <w:t xml:space="preserve"/>
      </w:r>
    </w:p>
    <w:tbl>
      <w:tblPr>
        <w:tblW w:type="pct" w:w="100%"/>
        <w:tblBorders>
          <w:top w:val="single" w:color="D9D9D9" w:sz="4"/>
          <w:left w:val="single" w:color="D9D9D9" w:sz="4"/>
          <w:bottom w:val="single" w:color="D9D9D9" w:sz="4"/>
          <w:right w:val="single" w:color="D9D9D9" w:sz="4"/>
          <w:insideH w:val="single" w:color="D9D9D9" w:sz="4"/>
          <w:insideV w:val="single" w:color="D9D9D9" w:sz="4"/>
        </w:tblBorders>
      </w:tblPr>
      <w:tblGrid>
        <w:gridCol w:w="100"/>
        <w:gridCol w:w="100"/>
        <w:gridCol w:w="100"/>
        <w:gridCol w:w="100"/>
      </w:tblGrid>
      <w:tr>
        <w:trPr>
          <w:tblHeader/>
        </w:trPr>
        <w:tc>
          <w:tcPr>
            <w:tcW w:type="pct" w:w="18%"/>
            <w:shd w:fill="1F4E79" w:val="clear"/>
            <w:tcMar>
              <w:top w:type="dxa" w:w="70"/>
              <w:left w:type="dxa" w:w="110"/>
              <w:bottom w:type="dxa" w:w="70"/>
              <w:right w:type="dxa" w:w="110"/>
            </w:tcMar>
            <w:vAlign w:val="center"/>
          </w:tcPr>
          <w:p>
            <w:r>
              <w:rPr>
                <w:rFonts w:ascii="Roboto" w:cs="Roboto" w:eastAsia="Roboto" w:hAnsi="Roboto"/>
                <w:b/>
                <w:bCs/>
                <w:color w:val="FFFFFF"/>
                <w:sz w:val="19"/>
                <w:szCs w:val="19"/>
              </w:rPr>
              <w:t xml:space="preserve">Week / Unit</w:t>
            </w:r>
          </w:p>
        </w:tc>
        <w:tc>
          <w:tcPr>
            <w:tcW w:type="pct" w:w="52%"/>
            <w:shd w:fill="1F4E79" w:val="clear"/>
            <w:tcMar>
              <w:top w:type="dxa" w:w="70"/>
              <w:left w:type="dxa" w:w="110"/>
              <w:bottom w:type="dxa" w:w="70"/>
              <w:right w:type="dxa" w:w="110"/>
            </w:tcMar>
            <w:vAlign w:val="center"/>
          </w:tcPr>
          <w:p>
            <w:r>
              <w:rPr>
                <w:rFonts w:ascii="Roboto" w:cs="Roboto" w:eastAsia="Roboto" w:hAnsi="Roboto"/>
                <w:b/>
                <w:bCs/>
                <w:color w:val="FFFFFF"/>
                <w:sz w:val="19"/>
                <w:szCs w:val="19"/>
              </w:rPr>
              <w:t xml:space="preserve">Task</w:t>
            </w:r>
          </w:p>
        </w:tc>
        <w:tc>
          <w:tcPr>
            <w:tcW w:type="pct" w:w="18%"/>
            <w:shd w:fill="1F4E79" w:val="clear"/>
            <w:tcMar>
              <w:top w:type="dxa" w:w="70"/>
              <w:left w:type="dxa" w:w="110"/>
              <w:bottom w:type="dxa" w:w="70"/>
              <w:right w:type="dxa" w:w="110"/>
            </w:tcMar>
            <w:vAlign w:val="center"/>
          </w:tcPr>
          <w:p>
            <w:r>
              <w:rPr>
                <w:rFonts w:ascii="Roboto" w:cs="Roboto" w:eastAsia="Roboto" w:hAnsi="Roboto"/>
                <w:b/>
                <w:bCs/>
                <w:color w:val="FFFFFF"/>
                <w:sz w:val="19"/>
                <w:szCs w:val="19"/>
              </w:rPr>
              <w:t xml:space="preserve">Type</w:t>
            </w:r>
          </w:p>
        </w:tc>
        <w:tc>
          <w:tcPr>
            <w:tcW w:type="pct" w:w="12%"/>
            <w:shd w:fill="1F4E79" w:val="clear"/>
            <w:tcMar>
              <w:top w:type="dxa" w:w="70"/>
              <w:left w:type="dxa" w:w="110"/>
              <w:bottom w:type="dxa" w:w="70"/>
              <w:right w:type="dxa" w:w="110"/>
            </w:tcMar>
            <w:vAlign w:val="center"/>
          </w:tcPr>
          <w:p>
            <w:r>
              <w:rPr>
                <w:rFonts w:ascii="Roboto" w:cs="Roboto" w:eastAsia="Roboto" w:hAnsi="Roboto"/>
                <w:b/>
                <w:bCs/>
                <w:color w:val="FFFFFF"/>
                <w:sz w:val="19"/>
                <w:szCs w:val="19"/>
              </w:rPr>
              <w:t xml:space="preserve">Hours</w:t>
            </w:r>
          </w:p>
        </w:tc>
      </w:tr>
      <w:tr>
        <w:tc>
          <w:tcPr>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Week 1</w:t>
            </w:r>
            <w:r>
              <w:br/>
            </w:r>
            <w:r>
              <w:rPr>
                <w:rFonts w:ascii="Roboto" w:cs="Roboto" w:eastAsia="Roboto" w:hAnsi="Roboto"/>
                <w:color w:val="1A1A1A"/>
                <w:sz w:val="20"/>
                <w:szCs w:val="20"/>
              </w:rPr>
              <w:t xml:space="preserve">Unit 1</w:t>
            </w:r>
          </w:p>
        </w:tc>
        <w:tc>
          <w:tcPr>
            <w:tcMar>
              <w:top w:type="dxa" w:w="60"/>
              <w:left w:type="dxa" w:w="110"/>
              <w:bottom w:type="dxa" w:w="60"/>
              <w:right w:type="dxa" w:w="110"/>
            </w:tcMar>
            <w:vAlign w:val="center"/>
          </w:tcPr>
          <w:p>
            <w:r>
              <w:rPr>
                <w:rFonts w:ascii="Roboto" w:cs="Roboto" w:eastAsia="Roboto" w:hAnsi="Roboto"/>
                <w:color w:val="1A1A1A"/>
                <w:sz w:val="20"/>
                <w:szCs w:val="20"/>
              </w:rPr>
              <w:t xml:space="preserve">[Training work — what you did in Unit 1]</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Internal</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r>
      <w:tr>
        <w:tc>
          <w:tcPr>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Week 2</w:t>
            </w:r>
            <w:r>
              <w:br/>
            </w:r>
            <w:r>
              <w:rPr>
                <w:rFonts w:ascii="Roboto" w:cs="Roboto" w:eastAsia="Roboto" w:hAnsi="Roboto"/>
                <w:color w:val="1A1A1A"/>
                <w:sz w:val="20"/>
                <w:szCs w:val="20"/>
              </w:rPr>
              <w:t xml:space="preserve">Unit 2</w:t>
            </w:r>
          </w:p>
        </w:tc>
        <w:tc>
          <w:tcPr>
            <w:tcMar>
              <w:top w:type="dxa" w:w="60"/>
              <w:left w:type="dxa" w:w="110"/>
              <w:bottom w:type="dxa" w:w="60"/>
              <w:right w:type="dxa" w:w="110"/>
            </w:tcMar>
            <w:vAlign w:val="center"/>
          </w:tcPr>
          <w:p>
            <w:r>
              <w:rPr>
                <w:rFonts w:ascii="Roboto" w:cs="Roboto" w:eastAsia="Roboto" w:hAnsi="Roboto"/>
                <w:color w:val="1A1A1A"/>
                <w:sz w:val="20"/>
                <w:szCs w:val="20"/>
              </w:rPr>
              <w:t xml:space="preserve">[Training+ work — what you did in Unit 2]</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Internal</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r>
      <w:tr>
        <w:tc>
          <w:tcPr>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Week 3</w:t>
            </w:r>
            <w:r>
              <w:br/>
            </w:r>
            <w:r>
              <w:rPr>
                <w:rFonts w:ascii="Roboto" w:cs="Roboto" w:eastAsia="Roboto" w:hAnsi="Roboto"/>
                <w:color w:val="1A1A1A"/>
                <w:sz w:val="20"/>
                <w:szCs w:val="20"/>
              </w:rPr>
              <w:t xml:space="preserve">Unit 3</w:t>
            </w:r>
          </w:p>
        </w:tc>
        <w:tc>
          <w:tcPr>
            <w:tcMar>
              <w:top w:type="dxa" w:w="60"/>
              <w:left w:type="dxa" w:w="110"/>
              <w:bottom w:type="dxa" w:w="60"/>
              <w:right w:type="dxa" w:w="110"/>
            </w:tcMar>
            <w:vAlign w:val="center"/>
          </w:tcPr>
          <w:p>
            <w:r>
              <w:rPr>
                <w:rFonts w:ascii="Roboto" w:cs="Roboto" w:eastAsia="Roboto" w:hAnsi="Roboto"/>
                <w:color w:val="1A1A1A"/>
                <w:sz w:val="20"/>
                <w:szCs w:val="20"/>
              </w:rPr>
              <w:t xml:space="preserve">[Engagement fieldwork — what you did for the client]</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Billable</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r>
      <w:tr>
        <w:tc>
          <w:tcPr>
            <w:gridSpan w:val="2"/>
            <w:shd w:fill="1F4E79" w:val="clear"/>
            <w:tcMar>
              <w:top w:type="dxa" w:w="60"/>
              <w:left w:type="dxa" w:w="110"/>
              <w:bottom w:type="dxa" w:w="60"/>
              <w:right w:type="dxa" w:w="110"/>
            </w:tcMar>
            <w:vAlign w:val="center"/>
          </w:tcPr>
          <w:p>
            <w:pPr>
              <w:jc w:val="right"/>
            </w:pPr>
            <w:r>
              <w:rPr>
                <w:rFonts w:ascii="Roboto" w:cs="Roboto" w:eastAsia="Roboto" w:hAnsi="Roboto"/>
                <w:color w:val="1A1A1A"/>
                <w:sz w:val="20"/>
                <w:szCs w:val="20"/>
              </w:rPr>
              <w:t xml:space="preserve">TOTAL</w:t>
            </w:r>
          </w:p>
        </w:tc>
        <w:tc>
          <w:tcPr>
            <w:shd w:fill="1F4E79" w:val="clear"/>
            <w:tcMar>
              <w:top w:type="dxa" w:w="60"/>
              <w:left w:type="dxa" w:w="110"/>
              <w:bottom w:type="dxa" w:w="60"/>
              <w:right w:type="dxa" w:w="110"/>
            </w:tcMar>
            <w:vAlign w:val="center"/>
          </w:tcPr>
          <w:p>
            <w:pPr>
              <w:jc w:val="center"/>
            </w:pPr>
            <w:r>
              <w:rPr>
                <w:rFonts w:ascii="Roboto" w:cs="Roboto" w:eastAsia="Roboto" w:hAnsi="Roboto"/>
                <w:b/>
                <w:bCs/>
                <w:color w:val="FFFFFF"/>
                <w:sz w:val="19"/>
                <w:szCs w:val="19"/>
              </w:rPr>
              <w:t xml:space="preserve">Internal [ ]  |  Billable [ ]</w:t>
            </w:r>
          </w:p>
        </w:tc>
        <w:tc>
          <w:tcPr>
            <w:shd w:fill="1F4E79" w:val="clear"/>
            <w:tcMar>
              <w:top w:type="dxa" w:w="60"/>
              <w:left w:type="dxa" w:w="110"/>
              <w:bottom w:type="dxa" w:w="60"/>
              <w:right w:type="dxa" w:w="110"/>
            </w:tcMar>
            <w:vAlign w:val="center"/>
          </w:tcPr>
          <w:p>
            <w:pPr>
              <w:jc w:val="center"/>
            </w:pPr>
            <w:r>
              <w:rPr>
                <w:rFonts w:ascii="Roboto" w:cs="Roboto" w:eastAsia="Roboto" w:hAnsi="Roboto"/>
                <w:b/>
                <w:bCs/>
                <w:color w:val="FFFFFF"/>
                <w:sz w:val="20"/>
                <w:szCs w:val="20"/>
              </w:rPr>
              <w:t xml:space="preserve">[ ]</w:t>
            </w:r>
          </w:p>
        </w:tc>
      </w:tr>
    </w:tbl>
    <w:p>
      <w:pPr>
        <w:spacing w:after="120"/>
      </w:pPr>
      <w:r>
        <w:t xml:space="preserve"/>
      </w:r>
    </w:p>
    <w:p>
      <w:pPr>
        <w:pStyle w:val="Heading1"/>
        <w:pBdr>
          <w:bottom w:val="single" w:color="1F4E79" w:sz="8"/>
        </w:pBdr>
        <w:spacing w:after="160" w:before="320"/>
      </w:pPr>
      <w:r>
        <w:rPr>
          <w:rFonts w:ascii="Roboto Slab" w:cs="Roboto Slab" w:eastAsia="Roboto Slab" w:hAnsi="Roboto Slab"/>
          <w:b/>
          <w:bCs/>
          <w:color w:val="1F4E79"/>
          <w:sz w:val="30"/>
          <w:szCs w:val="30"/>
        </w:rPr>
        <w:t xml:space="preserve">B. Internal Runbook</w:t>
      </w:r>
    </w:p>
    <w:p>
      <w:pPr>
        <w:spacing w:after="120" w:line="276"/>
      </w:pPr>
      <w:r>
        <w:rPr>
          <w:rFonts w:ascii="Roboto" w:cs="Roboto" w:eastAsia="Roboto" w:hAnsi="Roboto"/>
          <w:color w:val="1A1A1A"/>
          <w:sz w:val="22"/>
          <w:szCs w:val="22"/>
        </w:rPr>
        <w:t xml:space="preserve">Audience: the next analyst who picks up this client next quarter. If a colleague had only your runbook, could they reproduce what you did? Document environment setup, tools and versions, the exact commands you ran, expected output, and where you got stuck and how you got unstuck.</w:t>
      </w:r>
    </w:p>
    <w:p>
      <w:pPr>
        <w:pStyle w:val="Heading2"/>
        <w:spacing w:after="120" w:before="240"/>
      </w:pPr>
      <w:r>
        <w:rPr>
          <w:rFonts w:ascii="Roboto Slab" w:cs="Roboto Slab" w:eastAsia="Roboto Slab" w:hAnsi="Roboto Slab"/>
          <w:b/>
          <w:bCs/>
          <w:color w:val="2E75B6"/>
          <w:sz w:val="24"/>
          <w:szCs w:val="24"/>
        </w:rPr>
        <w:t xml:space="preserve">Runbook entry — structure to follow</w:t>
      </w:r>
    </w:p>
    <w:p>
      <w:pPr>
        <w:pBdr>
          <w:left w:val="single" w:color="2E75B6" w:sz="18"/>
        </w:pBdr>
        <w:shd w:fill="F5F7FA" w:val="clear"/>
        <w:spacing w:after="120" w:line="276"/>
        <w:ind w:left="180"/>
      </w:pPr>
      <w:r>
        <w:rPr>
          <w:rFonts w:ascii="Roboto" w:cs="Roboto" w:eastAsia="Roboto" w:hAnsi="Roboto"/>
          <w:i/>
          <w:iCs/>
          <w:color w:val="595959"/>
          <w:sz w:val="20"/>
          <w:szCs w:val="20"/>
        </w:rPr>
        <w:t xml:space="preserve">Write one entry per tool or step in your engagement. Keep this structure. A fully worked example entry is in the Engagement Packet Worked Example (linked from the Lab 1.0 page).</w:t>
      </w:r>
    </w:p>
    <w:tbl>
      <w:tblPr>
        <w:tblW w:type="pct" w:w="100%"/>
        <w:tblBorders>
          <w:top w:val="single" w:color="D9D9D9" w:sz="4"/>
          <w:left w:val="single" w:color="D9D9D9" w:sz="4"/>
          <w:bottom w:val="single" w:color="D9D9D9" w:sz="4"/>
          <w:right w:val="single" w:color="D9D9D9" w:sz="4"/>
          <w:insideH w:val="single" w:color="D9D9D9" w:sz="4"/>
          <w:insideV w:val="single" w:color="D9D9D9" w:sz="4"/>
        </w:tblBorders>
      </w:tblPr>
      <w:tblGrid>
        <w:gridCol w:w="100"/>
      </w:tblGrid>
      <w:tr>
        <w:tc>
          <w:tcPr>
            <w:shd w:fill="F5F7FA" w:val="clear"/>
            <w:tcMar>
              <w:top w:type="dxa" w:w="100"/>
              <w:left w:type="dxa" w:w="160"/>
              <w:bottom w:type="dxa" w:w="100"/>
              <w:right w:type="dxa" w:w="160"/>
            </w:tcMar>
          </w:tcPr>
          <w:p>
            <w:r>
              <w:rPr>
                <w:rFonts w:ascii="Roboto Mono" w:cs="Roboto Mono" w:eastAsia="Roboto Mono" w:hAnsi="Roboto Mono"/>
                <w:color w:val="1A1A1A"/>
                <w:sz w:val="17"/>
                <w:szCs w:val="17"/>
              </w:rPr>
              <w:t xml:space="preserve">[TOOL OR STEP NAME]</w:t>
            </w:r>
            <w:r>
              <w:br/>
            </w:r>
            <w:r>
              <w:rPr>
                <w:rFonts w:ascii="Roboto Mono" w:cs="Roboto Mono" w:eastAsia="Roboto Mono" w:hAnsi="Roboto Mono"/>
                <w:color w:val="1A1A1A"/>
                <w:sz w:val="17"/>
                <w:szCs w:val="17"/>
              </w:rPr>
              <w:t xml:space="preserve">------------------------------------------------------------</w:t>
            </w:r>
            <w:r>
              <w:br/>
            </w:r>
            <w:r>
              <w:rPr>
                <w:rFonts w:ascii="Roboto Mono" w:cs="Roboto Mono" w:eastAsia="Roboto Mono" w:hAnsi="Roboto Mono"/>
                <w:color w:val="1A1A1A"/>
                <w:sz w:val="17"/>
                <w:szCs w:val="17"/>
              </w:rPr>
              <w:t xml:space="preserve"/>
            </w:r>
            <w:r>
              <w:br/>
            </w:r>
            <w:r>
              <w:rPr>
                <w:rFonts w:ascii="Roboto Mono" w:cs="Roboto Mono" w:eastAsia="Roboto Mono" w:hAnsi="Roboto Mono"/>
                <w:color w:val="1A1A1A"/>
                <w:sz w:val="17"/>
                <w:szCs w:val="17"/>
              </w:rPr>
              <w:t xml:space="preserve">Purpose: [what this tool/step accomplishes and why]</w:t>
            </w:r>
            <w:r>
              <w:br/>
            </w:r>
            <w:r>
              <w:rPr>
                <w:rFonts w:ascii="Roboto Mono" w:cs="Roboto Mono" w:eastAsia="Roboto Mono" w:hAnsi="Roboto Mono"/>
                <w:color w:val="1A1A1A"/>
                <w:sz w:val="17"/>
                <w:szCs w:val="17"/>
              </w:rPr>
              <w:t xml:space="preserve"/>
            </w:r>
            <w:r>
              <w:br/>
            </w:r>
            <w:r>
              <w:rPr>
                <w:rFonts w:ascii="Roboto Mono" w:cs="Roboto Mono" w:eastAsia="Roboto Mono" w:hAnsi="Roboto Mono"/>
                <w:color w:val="1A1A1A"/>
                <w:sz w:val="17"/>
                <w:szCs w:val="17"/>
              </w:rPr>
              <w:t xml:space="preserve">Options / flags used:</w:t>
            </w:r>
            <w:r>
              <w:br/>
            </w:r>
            <w:r>
              <w:rPr>
                <w:rFonts w:ascii="Roboto Mono" w:cs="Roboto Mono" w:eastAsia="Roboto Mono" w:hAnsi="Roboto Mono"/>
                <w:color w:val="1A1A1A"/>
                <w:sz w:val="17"/>
                <w:szCs w:val="17"/>
              </w:rPr>
              <w:t xml:space="preserve">  [flag]   [what it does]</w:t>
            </w:r>
            <w:r>
              <w:br/>
            </w:r>
            <w:r>
              <w:rPr>
                <w:rFonts w:ascii="Roboto Mono" w:cs="Roboto Mono" w:eastAsia="Roboto Mono" w:hAnsi="Roboto Mono"/>
                <w:color w:val="1A1A1A"/>
                <w:sz w:val="17"/>
                <w:szCs w:val="17"/>
              </w:rPr>
              <w:t xml:space="preserve">  [flag]   [what it does]</w:t>
            </w:r>
            <w:r>
              <w:br/>
            </w:r>
            <w:r>
              <w:rPr>
                <w:rFonts w:ascii="Roboto Mono" w:cs="Roboto Mono" w:eastAsia="Roboto Mono" w:hAnsi="Roboto Mono"/>
                <w:color w:val="1A1A1A"/>
                <w:sz w:val="17"/>
                <w:szCs w:val="17"/>
              </w:rPr>
              <w:t xml:space="preserve"/>
            </w:r>
            <w:r>
              <w:br/>
            </w:r>
            <w:r>
              <w:rPr>
                <w:rFonts w:ascii="Roboto Mono" w:cs="Roboto Mono" w:eastAsia="Roboto Mono" w:hAnsi="Roboto Mono"/>
                <w:color w:val="1A1A1A"/>
                <w:sz w:val="17"/>
                <w:szCs w:val="17"/>
              </w:rPr>
              <w:t xml:space="preserve">Exact command as run:</w:t>
            </w:r>
            <w:r>
              <w:br/>
            </w:r>
            <w:r>
              <w:rPr>
                <w:rFonts w:ascii="Roboto Mono" w:cs="Roboto Mono" w:eastAsia="Roboto Mono" w:hAnsi="Roboto Mono"/>
                <w:color w:val="1A1A1A"/>
                <w:sz w:val="17"/>
                <w:szCs w:val="17"/>
              </w:rPr>
              <w:t xml:space="preserve">  [the full command, copy-pasted from your terminal]</w:t>
            </w:r>
            <w:r>
              <w:br/>
            </w:r>
            <w:r>
              <w:rPr>
                <w:rFonts w:ascii="Roboto Mono" w:cs="Roboto Mono" w:eastAsia="Roboto Mono" w:hAnsi="Roboto Mono"/>
                <w:color w:val="1A1A1A"/>
                <w:sz w:val="17"/>
                <w:szCs w:val="17"/>
              </w:rPr>
              <w:t xml:space="preserve"/>
            </w:r>
            <w:r>
              <w:br/>
            </w:r>
            <w:r>
              <w:rPr>
                <w:rFonts w:ascii="Roboto Mono" w:cs="Roboto Mono" w:eastAsia="Roboto Mono" w:hAnsi="Roboto Mono"/>
                <w:color w:val="1A1A1A"/>
                <w:sz w:val="17"/>
                <w:szCs w:val="17"/>
              </w:rPr>
              <w:t xml:space="preserve">Sample output excerpt:</w:t>
            </w:r>
            <w:r>
              <w:br/>
            </w:r>
            <w:r>
              <w:rPr>
                <w:rFonts w:ascii="Roboto Mono" w:cs="Roboto Mono" w:eastAsia="Roboto Mono" w:hAnsi="Roboto Mono"/>
                <w:color w:val="1A1A1A"/>
                <w:sz w:val="17"/>
                <w:szCs w:val="17"/>
              </w:rPr>
              <w:t xml:space="preserve">  [paste the relevant lines of output]</w:t>
            </w:r>
            <w:r>
              <w:br/>
            </w:r>
            <w:r>
              <w:rPr>
                <w:rFonts w:ascii="Roboto Mono" w:cs="Roboto Mono" w:eastAsia="Roboto Mono" w:hAnsi="Roboto Mono"/>
                <w:color w:val="1A1A1A"/>
                <w:sz w:val="17"/>
                <w:szCs w:val="17"/>
              </w:rPr>
              <w:t xml:space="preserve"/>
            </w:r>
            <w:r>
              <w:br/>
            </w:r>
            <w:r>
              <w:rPr>
                <w:rFonts w:ascii="Roboto Mono" w:cs="Roboto Mono" w:eastAsia="Roboto Mono" w:hAnsi="Roboto Mono"/>
                <w:color w:val="1A1A1A"/>
                <w:sz w:val="17"/>
                <w:szCs w:val="17"/>
              </w:rPr>
              <w:t xml:space="preserve">Next steps / interpretation:</w:t>
            </w:r>
            <w:r>
              <w:br/>
            </w:r>
            <w:r>
              <w:rPr>
                <w:rFonts w:ascii="Roboto Mono" w:cs="Roboto Mono" w:eastAsia="Roboto Mono" w:hAnsi="Roboto Mono"/>
                <w:color w:val="1A1A1A"/>
                <w:sz w:val="17"/>
                <w:szCs w:val="17"/>
              </w:rPr>
              <w:t xml:space="preserve">  [what you did with this result]</w:t>
            </w:r>
            <w:r>
              <w:br/>
            </w:r>
            <w:r>
              <w:rPr>
                <w:rFonts w:ascii="Roboto Mono" w:cs="Roboto Mono" w:eastAsia="Roboto Mono" w:hAnsi="Roboto Mono"/>
                <w:color w:val="1A1A1A"/>
                <w:sz w:val="17"/>
                <w:szCs w:val="17"/>
              </w:rPr>
              <w:t xml:space="preserve"/>
            </w:r>
            <w:r>
              <w:br/>
            </w:r>
            <w:r>
              <w:rPr>
                <w:rFonts w:ascii="Roboto Mono" w:cs="Roboto Mono" w:eastAsia="Roboto Mono" w:hAnsi="Roboto Mono"/>
                <w:color w:val="1A1A1A"/>
                <w:sz w:val="17"/>
                <w:szCs w:val="17"/>
              </w:rPr>
              <w:t xml:space="preserve">Pitfalls observed: [anything that tripped you up and how you</w:t>
            </w:r>
            <w:r>
              <w:br/>
            </w:r>
            <w:r>
              <w:rPr>
                <w:rFonts w:ascii="Roboto Mono" w:cs="Roboto Mono" w:eastAsia="Roboto Mono" w:hAnsi="Roboto Mono"/>
                <w:color w:val="1A1A1A"/>
                <w:sz w:val="17"/>
                <w:szCs w:val="17"/>
              </w:rPr>
              <w:t xml:space="preserve">got past it]</w:t>
            </w:r>
          </w:p>
        </w:tc>
      </w:tr>
    </w:tbl>
    <w:p>
      <w:pPr>
        <w:spacing w:after="120" w:line="276"/>
      </w:pPr>
      <w:r>
        <w:rPr>
          <w:rFonts w:ascii="Roboto" w:cs="Roboto" w:eastAsia="Roboto" w:hAnsi="Roboto"/>
          <w:i/>
          <w:iCs/>
          <w:color w:val="595959"/>
          <w:sz w:val="22"/>
          <w:szCs w:val="22"/>
        </w:rPr>
        <w:t xml:space="preserve">[Screenshot here — pair each runbook entry with the terminal output that produced it, kali-abc123 visible in the prompt.]</w:t>
      </w:r>
    </w:p>
    <w:p>
      <w:pPr>
        <w:spacing w:after="120"/>
      </w:pPr>
      <w:r>
        <w:t xml:space="preserve"/>
      </w:r>
    </w:p>
    <w:p>
      <w:pPr>
        <w:pStyle w:val="Heading1"/>
        <w:pBdr>
          <w:bottom w:val="single" w:color="1F4E79" w:sz="8"/>
        </w:pBdr>
        <w:spacing w:after="160" w:before="320"/>
      </w:pPr>
      <w:r>
        <w:rPr>
          <w:rFonts w:ascii="Roboto Slab" w:cs="Roboto Slab" w:eastAsia="Roboto Slab" w:hAnsi="Roboto Slab"/>
          <w:b/>
          <w:bCs/>
          <w:color w:val="1F4E79"/>
          <w:sz w:val="30"/>
          <w:szCs w:val="30"/>
        </w:rPr>
        <w:t xml:space="preserve">C. Analyst Reflection</w:t>
      </w:r>
    </w:p>
    <w:p>
      <w:pPr>
        <w:spacing w:after="120" w:line="276"/>
      </w:pPr>
      <w:r>
        <w:rPr>
          <w:rFonts w:ascii="Roboto" w:cs="Roboto" w:eastAsia="Roboto" w:hAnsi="Roboto"/>
          <w:color w:val="1A1A1A"/>
          <w:sz w:val="22"/>
          <w:szCs w:val="22"/>
        </w:rPr>
        <w:t xml:space="preserve">Audience: you and your instructor. This is where the learning lives. Three prompts — answer all three honestly.</w:t>
      </w:r>
    </w:p>
    <w:p>
      <w:pPr>
        <w:pStyle w:val="Heading2"/>
        <w:spacing w:after="120" w:before="240"/>
      </w:pPr>
      <w:r>
        <w:rPr>
          <w:rFonts w:ascii="Roboto Slab" w:cs="Roboto Slab" w:eastAsia="Roboto Slab" w:hAnsi="Roboto Slab"/>
          <w:b/>
          <w:bCs/>
          <w:color w:val="2E75B6"/>
          <w:sz w:val="24"/>
          <w:szCs w:val="24"/>
        </w:rPr>
        <w:t xml:space="preserve">1. Timesheet Self-Audit</w:t>
      </w:r>
    </w:p>
    <w:p>
      <w:pPr>
        <w:pBdr>
          <w:left w:val="single" w:color="2E75B6" w:sz="18"/>
        </w:pBdr>
        <w:shd w:fill="F5F7FA" w:val="clear"/>
        <w:spacing w:after="120" w:line="276"/>
        <w:ind w:left="180"/>
      </w:pPr>
      <w:r>
        <w:rPr>
          <w:rFonts w:ascii="Roboto" w:cs="Roboto" w:eastAsia="Roboto" w:hAnsi="Roboto"/>
          <w:i/>
          <w:iCs/>
          <w:color w:val="595959"/>
          <w:sz w:val="20"/>
          <w:szCs w:val="20"/>
        </w:rPr>
        <w:t xml:space="preserve">Looking at your timesheet: was there a task that took disproportionately long? Describe what made it slow and what you’d do differently. Then total your hours — if Maya Rodriguez reviewed this timesheet alongside your deliverable, what would she conclude about your efficiency? Be candid; this is a professional self-audit, not a grade defense.</w:t>
      </w:r>
    </w:p>
    <w:p>
      <w:pPr>
        <w:spacing w:after="120"/>
      </w:pPr>
      <w:r>
        <w:rPr>
          <w:rFonts w:ascii="Roboto" w:cs="Roboto" w:eastAsia="Roboto" w:hAnsi="Roboto"/>
          <w:i/>
          <w:iCs/>
          <w:color w:val="595959"/>
          <w:sz w:val="22"/>
          <w:szCs w:val="22"/>
        </w:rPr>
        <w:t xml:space="preserve">[Your timesheet self-audit here.]</w:t>
      </w:r>
    </w:p>
    <w:p>
      <w:pPr>
        <w:pStyle w:val="Heading2"/>
        <w:spacing w:after="120" w:before="240"/>
      </w:pPr>
      <w:r>
        <w:rPr>
          <w:rFonts w:ascii="Roboto Slab" w:cs="Roboto Slab" w:eastAsia="Roboto Slab" w:hAnsi="Roboto Slab"/>
          <w:b/>
          <w:bCs/>
          <w:color w:val="2E75B6"/>
          <w:sz w:val="24"/>
          <w:szCs w:val="24"/>
        </w:rPr>
        <w:t xml:space="preserve">2. Professional Reflection</w:t>
      </w:r>
    </w:p>
    <w:p>
      <w:pPr>
        <w:pBdr>
          <w:left w:val="single" w:color="2E75B6" w:sz="18"/>
        </w:pBdr>
        <w:shd w:fill="F5F7FA" w:val="clear"/>
        <w:spacing w:after="120" w:line="276"/>
        <w:ind w:left="180"/>
      </w:pPr>
      <w:r>
        <w:rPr>
          <w:rFonts w:ascii="Roboto" w:cs="Roboto" w:eastAsia="Roboto" w:hAnsi="Roboto"/>
          <w:i/>
          <w:iCs/>
          <w:color w:val="595959"/>
          <w:sz w:val="20"/>
          <w:szCs w:val="20"/>
        </w:rPr>
        <w:t xml:space="preserve">What worked? What didn’t? If you ran this engagement again with what you know now, what would you do differently? Be specific — “I’d communicate findings to the client earlier” beats “I’d be more organized.”</w:t>
      </w:r>
    </w:p>
    <w:p>
      <w:pPr>
        <w:spacing w:after="120"/>
      </w:pPr>
      <w:r>
        <w:rPr>
          <w:rFonts w:ascii="Roboto" w:cs="Roboto" w:eastAsia="Roboto" w:hAnsi="Roboto"/>
          <w:i/>
          <w:iCs/>
          <w:color w:val="595959"/>
          <w:sz w:val="22"/>
          <w:szCs w:val="22"/>
        </w:rPr>
        <w:t xml:space="preserve">[Your professional reflection here.]</w:t>
      </w:r>
    </w:p>
    <w:p>
      <w:pPr>
        <w:pStyle w:val="Heading2"/>
        <w:spacing w:after="120" w:before="240"/>
      </w:pPr>
      <w:r>
        <w:rPr>
          <w:rFonts w:ascii="Roboto Slab" w:cs="Roboto Slab" w:eastAsia="Roboto Slab" w:hAnsi="Roboto Slab"/>
          <w:b/>
          <w:bCs/>
          <w:color w:val="2E75B6"/>
          <w:sz w:val="24"/>
          <w:szCs w:val="24"/>
        </w:rPr>
        <w:t xml:space="preserve">3. AI Methodology Reflection</w:t>
      </w:r>
    </w:p>
    <w:p>
      <w:pPr>
        <w:spacing w:after="120" w:line="276"/>
      </w:pPr>
      <w:r>
        <w:rPr>
          <w:rFonts w:ascii="Roboto" w:cs="Roboto" w:eastAsia="Roboto" w:hAnsi="Roboto"/>
          <w:i/>
          <w:iCs/>
          <w:color w:val="1A1A1A"/>
          <w:sz w:val="22"/>
          <w:szCs w:val="22"/>
        </w:rPr>
        <w:t xml:space="preserve">Where did AI help you on this engagement, how did you verify what it told you, and did you really need it?</w:t>
      </w:r>
    </w:p>
    <w:p>
      <w:pPr>
        <w:pBdr>
          <w:left w:val="single" w:color="2E75B6" w:sz="18"/>
        </w:pBdr>
        <w:shd w:fill="F5F7FA" w:val="clear"/>
        <w:spacing w:after="120" w:line="276"/>
        <w:ind w:left="180"/>
      </w:pPr>
      <w:r>
        <w:rPr>
          <w:rFonts w:ascii="Roboto" w:cs="Roboto" w:eastAsia="Roboto" w:hAnsi="Roboto"/>
          <w:i/>
          <w:iCs/>
          <w:color w:val="595959"/>
          <w:sz w:val="20"/>
          <w:szCs w:val="20"/>
        </w:rPr>
        <w:t xml:space="preserve">There’s no minimum word count — answer honestly. “I didn’t use AI on this engagement (N/A)” is perfectly acceptable if it’s true. But it had better be true — don’t claim N/A if your runbook is full of AI-generated explanations.</w:t>
      </w:r>
    </w:p>
    <w:p>
      <w:pPr>
        <w:spacing w:after="120"/>
      </w:pPr>
      <w:r>
        <w:rPr>
          <w:rFonts w:ascii="Roboto" w:cs="Roboto" w:eastAsia="Roboto" w:hAnsi="Roboto"/>
          <w:i/>
          <w:iCs/>
          <w:color w:val="595959"/>
          <w:sz w:val="22"/>
          <w:szCs w:val="22"/>
        </w:rPr>
        <w:t xml:space="preserve">[Your AI methodology reflection here — or a truthful N/A.]</w:t>
      </w:r>
    </w:p>
    <w:p>
      <w:r>
        <w:br w:type="page"/>
      </w:r>
    </w:p>
    <w:p>
      <w:pPr>
        <w:spacing w:after="40" w:before="240"/>
        <w:jc w:val="center"/>
      </w:pPr>
      <w:r>
        <w:rPr>
          <w:rFonts w:ascii="Roboto" w:cs="Roboto" w:eastAsia="Roboto" w:hAnsi="Roboto"/>
          <w:b/>
          <w:bCs/>
          <w:color w:val="595959"/>
          <w:spacing w:val="30"/>
          <w:sz w:val="18"/>
          <w:szCs w:val="18"/>
        </w:rPr>
        <w:t xml:space="preserve">PART II — CLIENT DELIVERABLE</w:t>
      </w:r>
    </w:p>
    <w:p>
      <w:pPr>
        <w:spacing w:after="160"/>
      </w:pPr>
      <w:r>
        <w:t xml:space="preserve"/>
      </w:r>
    </w:p>
    <w:p>
      <w:pPr>
        <w:jc w:val="center"/>
      </w:pPr>
      <w:r>
        <w:drawing>
          <wp:inline distT="0" distB="0" distL="0" distR="0">
            <wp:extent cx="1409700" cy="161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409700" cy="1619250"/>
                    </a:xfrm>
                    <a:prstGeom prst="rect">
                      <a:avLst/>
                    </a:prstGeom>
                  </pic:spPr>
                </pic:pic>
              </a:graphicData>
            </a:graphic>
          </wp:inline>
        </w:drawing>
      </w:r>
    </w:p>
    <w:p>
      <w:pPr>
        <w:spacing w:after="40" w:before="80"/>
        <w:jc w:val="center"/>
      </w:pPr>
      <w:r>
        <w:rPr>
          <w:rFonts w:ascii="Roboto Slab" w:cs="Roboto Slab" w:eastAsia="Roboto Slab" w:hAnsi="Roboto Slab"/>
          <w:b/>
          <w:bCs/>
          <w:color w:val="0B7A75"/>
          <w:sz w:val="30"/>
          <w:szCs w:val="30"/>
        </w:rPr>
        <w:t xml:space="preserve">GULF COAST HEALTHCARE PARTNERS</w:t>
      </w:r>
    </w:p>
    <w:tbl>
      <w:tblPr>
        <w:tblW w:type="pct" w:w="50%"/>
        <w:jc w:val="center"/>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0B7A75" w:val="clear"/>
            <w:tcMar>
              <w:top w:type="dxa" w:w="24"/>
              <w:bottom w:type="dxa" w:w="24"/>
            </w:tcMar>
          </w:tcPr>
          <w:p>
            <w:r>
              <w:rPr>
                <w:sz w:val="6"/>
                <w:szCs w:val="6"/>
              </w:rPr>
              <w:t xml:space="preserve"/>
            </w:r>
          </w:p>
        </w:tc>
      </w:tr>
    </w:tbl>
    <w:p>
      <w:pPr>
        <w:spacing w:after="420"/>
      </w:pPr>
      <w:r>
        <w:t xml:space="preserve"/>
      </w:r>
    </w:p>
    <w:p>
      <w:pPr>
        <w:spacing w:after="60"/>
        <w:jc w:val="center"/>
      </w:pPr>
      <w:r>
        <w:rPr>
          <w:rFonts w:ascii="Roboto Slab" w:cs="Roboto Slab" w:eastAsia="Roboto Slab" w:hAnsi="Roboto Slab"/>
          <w:b/>
          <w:bCs/>
          <w:color w:val="1F4E79"/>
          <w:sz w:val="40"/>
          <w:szCs w:val="40"/>
        </w:rPr>
        <w:t xml:space="preserve">Cryptographic &amp; Authentication Assessment</w:t>
      </w:r>
    </w:p>
    <w:p>
      <w:pPr>
        <w:spacing w:after="40"/>
        <w:jc w:val="center"/>
      </w:pPr>
      <w:r>
        <w:rPr>
          <w:rFonts w:ascii="Roboto" w:cs="Roboto" w:eastAsia="Roboto" w:hAnsi="Roboto"/>
          <w:color w:val="595959"/>
          <w:sz w:val="24"/>
          <w:szCs w:val="24"/>
        </w:rPr>
        <w:t xml:space="preserve">Security Engagement Report</w:t>
      </w:r>
    </w:p>
    <w:p>
      <w:pPr>
        <w:spacing w:after="480"/>
        <w:jc w:val="center"/>
      </w:pPr>
      <w:r>
        <w:rPr>
          <w:rFonts w:ascii="Roboto" w:cs="Roboto" w:eastAsia="Roboto" w:hAnsi="Roboto"/>
          <w:i/>
          <w:iCs/>
          <w:color w:val="595959"/>
          <w:sz w:val="22"/>
          <w:szCs w:val="22"/>
        </w:rPr>
        <w:t xml:space="preserve">Module 2 — Cryptographic Assessment</w:t>
      </w:r>
    </w:p>
    <w:p>
      <w:pPr>
        <w:spacing w:after="360"/>
      </w:pPr>
      <w:r>
        <w:t xml:space="preserve"/>
      </w:r>
    </w:p>
    <w:tbl>
      <w:tblPr>
        <w:tblW w:type="pct" w:w="76%"/>
        <w:jc w:val="center"/>
        <w:tblBorders>
          <w:top w:val="single" w:color="D9D9D9" w:sz="4"/>
          <w:left w:val="single" w:color="D9D9D9" w:sz="4"/>
          <w:bottom w:val="single" w:color="D9D9D9" w:sz="4"/>
          <w:right w:val="single" w:color="D9D9D9" w:sz="4"/>
          <w:insideH w:val="single" w:color="D9D9D9" w:sz="4"/>
          <w:insideV w:val="single" w:color="D9D9D9" w:sz="4"/>
        </w:tblBorders>
      </w:tblPr>
      <w:tblGrid>
        <w:gridCol w:w="100"/>
        <w:gridCol w:w="100"/>
      </w:tblGrid>
      <w:tr>
        <w:tc>
          <w:tcPr>
            <w:tcW w:type="pct" w:w="34%"/>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Prepared for</w:t>
            </w:r>
          </w:p>
        </w:tc>
        <w:tc>
          <w:tcPr>
            <w:tcW w:type="pct" w:w="66%"/>
            <w:tcMar>
              <w:top w:type="dxa" w:w="60"/>
              <w:left w:type="dxa" w:w="110"/>
              <w:bottom w:type="dxa" w:w="60"/>
              <w:right w:type="dxa" w:w="110"/>
            </w:tcMar>
            <w:vAlign w:val="center"/>
          </w:tcPr>
          <w:p>
            <w:r>
              <w:rPr>
                <w:rFonts w:ascii="Roboto" w:cs="Roboto" w:eastAsia="Roboto" w:hAnsi="Roboto"/>
                <w:color w:val="1A1A1A"/>
                <w:sz w:val="20"/>
                <w:szCs w:val="20"/>
              </w:rPr>
              <w:t xml:space="preserve">Gulf Coast Healthcare Partners</w:t>
            </w:r>
          </w:p>
        </w:tc>
      </w:tr>
      <w:tr>
        <w:tc>
          <w:tcPr>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Prepared by</w:t>
            </w:r>
          </w:p>
        </w:tc>
        <w:tc>
          <w:tcPr>
            <w:tcMar>
              <w:top w:type="dxa" w:w="60"/>
              <w:left w:type="dxa" w:w="110"/>
              <w:bottom w:type="dxa" w:w="60"/>
              <w:right w:type="dxa" w:w="110"/>
            </w:tcMar>
            <w:vAlign w:val="center"/>
          </w:tcPr>
          <w:p>
            <w:r>
              <w:rPr>
                <w:rFonts w:ascii="Roboto" w:cs="Roboto" w:eastAsia="Roboto" w:hAnsi="Roboto"/>
                <w:color w:val="1A1A1A"/>
                <w:sz w:val="20"/>
                <w:szCs w:val="20"/>
              </w:rPr>
              <w:t xml:space="preserve">NEXUS Security Consulting</w:t>
            </w:r>
            <w:r>
              <w:br/>
            </w:r>
            <w:fldSimple w:instr="DOCPROPERTY Author \* MERGEFORMAT"/>
          </w:p>
        </w:tc>
      </w:tr>
      <w:tr>
        <w:tc>
          <w:tcPr>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Date</w:t>
            </w:r>
          </w:p>
        </w:tc>
        <w:tc>
          <w:tcPr>
            <w:tcMar>
              <w:top w:type="dxa" w:w="60"/>
              <w:left w:type="dxa" w:w="110"/>
              <w:bottom w:type="dxa" w:w="60"/>
              <w:right w:type="dxa" w:w="110"/>
            </w:tcMar>
            <w:vAlign w:val="center"/>
          </w:tcPr>
          <w:p>
            <w:fldSimple w:instr="DATE \@ &quot;MMMM d, yyyy&quot;"/>
          </w:p>
        </w:tc>
      </w:tr>
      <w:tr>
        <w:tc>
          <w:tcPr>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Classification</w:t>
            </w:r>
          </w:p>
        </w:tc>
        <w:tc>
          <w:tcPr>
            <w:tcMar>
              <w:top w:type="dxa" w:w="60"/>
              <w:left w:type="dxa" w:w="110"/>
              <w:bottom w:type="dxa" w:w="60"/>
              <w:right w:type="dxa" w:w="110"/>
            </w:tcMar>
            <w:vAlign w:val="center"/>
          </w:tcPr>
          <w:p>
            <w:r>
              <w:rPr>
                <w:rFonts w:ascii="Roboto" w:cs="Roboto" w:eastAsia="Roboto" w:hAnsi="Roboto"/>
                <w:b/>
                <w:bCs/>
                <w:color w:val="C00000"/>
                <w:sz w:val="20"/>
                <w:szCs w:val="20"/>
              </w:rPr>
              <w:t xml:space="preserve">CONFIDENTIAL — Client Use Only</w:t>
            </w:r>
          </w:p>
        </w:tc>
      </w:tr>
    </w:tbl>
    <w:p>
      <w:pPr>
        <w:spacing w:after="200"/>
      </w:pPr>
      <w:r>
        <w:t xml:space="preserve"/>
      </w:r>
    </w:p>
    <w:p>
      <w:pPr>
        <w:spacing w:before="240"/>
        <w:jc w:val="center"/>
      </w:pPr>
      <w:r>
        <w:rPr>
          <w:rFonts w:ascii="Roboto" w:cs="Roboto" w:eastAsia="Roboto" w:hAnsi="Roboto"/>
          <w:color w:val="595959"/>
          <w:sz w:val="16"/>
          <w:szCs w:val="16"/>
        </w:rPr>
        <w:t xml:space="preserve">Prepared by NEXUS Security Consulting</w:t>
      </w:r>
    </w:p>
    <w:p>
      <w:pPr>
        <w:pBdr>
          <w:left w:val="single" w:color="2E75B6" w:sz="18"/>
        </w:pBdr>
        <w:shd w:fill="F5F7FA" w:val="clear"/>
        <w:spacing w:after="120" w:line="276"/>
        <w:ind w:left="180"/>
      </w:pPr>
      <w:r>
        <w:rPr>
          <w:rFonts w:ascii="Roboto" w:cs="Roboto" w:eastAsia="Roboto" w:hAnsi="Roboto"/>
          <w:i/>
          <w:iCs/>
          <w:color w:val="595959"/>
          <w:sz w:val="20"/>
          <w:szCs w:val="20"/>
        </w:rPr>
        <w:t xml:space="preserve">This page is the cover of the client-facing report. Everything from here to the Appendix is what Gulf Coast receives — it should read as a standalone professional deliverable, independent of Part I.</w:t>
      </w:r>
    </w:p>
    <w:p>
      <w:r>
        <w:br w:type="page"/>
      </w:r>
    </w:p>
    <w:p>
      <w:pPr>
        <w:pBdr>
          <w:bottom w:val="single" w:color="2E75B6" w:sz="12"/>
        </w:pBdr>
        <w:spacing w:after="60" w:before="120"/>
      </w:pPr>
      <w:r>
        <w:rPr>
          <w:rFonts w:ascii="Roboto Slab" w:cs="Roboto Slab" w:eastAsia="Roboto Slab" w:hAnsi="Roboto Slab"/>
          <w:b/>
          <w:bCs/>
          <w:color w:val="2E75B6"/>
          <w:sz w:val="32"/>
          <w:szCs w:val="32"/>
        </w:rPr>
        <w:t xml:space="preserve">The Client Deliverable</w:t>
      </w:r>
    </w:p>
    <w:p>
      <w:pPr>
        <w:spacing w:after="120" w:line="276"/>
      </w:pPr>
      <w:r>
        <w:rPr>
          <w:rFonts w:ascii="Roboto" w:cs="Roboto" w:eastAsia="Roboto" w:hAnsi="Roboto"/>
          <w:color w:val="1A1A1A"/>
          <w:sz w:val="22"/>
          <w:szCs w:val="22"/>
        </w:rPr>
        <w:t xml:space="preserve">Part II is the document you hand the client. It follows professional penetration-test reporting conventions — the client should be able to read the executive summary alone and know what to do. Use this structure; don’t invent your own.</w:t>
      </w:r>
    </w:p>
    <w:p>
      <w:pPr>
        <w:pStyle w:val="Heading1"/>
        <w:pBdr>
          <w:bottom w:val="single" w:color="1F4E79" w:sz="8"/>
        </w:pBdr>
        <w:spacing w:after="160" w:before="320"/>
      </w:pPr>
      <w:r>
        <w:rPr>
          <w:rFonts w:ascii="Roboto Slab" w:cs="Roboto Slab" w:eastAsia="Roboto Slab" w:hAnsi="Roboto Slab"/>
          <w:b/>
          <w:bCs/>
          <w:color w:val="1F4E79"/>
          <w:sz w:val="30"/>
          <w:szCs w:val="30"/>
        </w:rPr>
        <w:t xml:space="preserve">Executive Summary</w:t>
      </w:r>
    </w:p>
    <w:p>
      <w:pPr>
        <w:pBdr>
          <w:left w:val="single" w:color="2E75B6" w:sz="18"/>
        </w:pBdr>
        <w:shd w:fill="F5F7FA" w:val="clear"/>
        <w:spacing w:after="120" w:line="276"/>
        <w:ind w:left="180"/>
      </w:pPr>
      <w:r>
        <w:rPr>
          <w:rFonts w:ascii="Roboto" w:cs="Roboto" w:eastAsia="Roboto" w:hAnsi="Roboto"/>
          <w:i/>
          <w:iCs/>
          <w:color w:val="595959"/>
          <w:sz w:val="20"/>
          <w:szCs w:val="20"/>
        </w:rPr>
        <w:t xml:space="preserve">One page maximum, board-readable. What we did, what we found, and what to do about it — in plain language. A non-technical executive should understand the risk and the next step without reading the rest of the report.</w:t>
      </w:r>
    </w:p>
    <w:p>
      <w:pPr>
        <w:spacing w:after="120"/>
      </w:pPr>
      <w:r>
        <w:rPr>
          <w:rFonts w:ascii="Roboto" w:cs="Roboto" w:eastAsia="Roboto" w:hAnsi="Roboto"/>
          <w:i/>
          <w:iCs/>
          <w:color w:val="595959"/>
          <w:sz w:val="22"/>
          <w:szCs w:val="22"/>
        </w:rPr>
        <w:t xml:space="preserve">[Your executive summary here — one page maximum.]</w:t>
      </w:r>
    </w:p>
    <w:p>
      <w:pPr>
        <w:spacing w:after="120"/>
      </w:pPr>
      <w:r>
        <w:t xml:space="preserve"/>
      </w:r>
    </w:p>
    <w:p>
      <w:pPr>
        <w:pStyle w:val="Heading1"/>
        <w:pBdr>
          <w:bottom w:val="single" w:color="1F4E79" w:sz="8"/>
        </w:pBdr>
        <w:spacing w:after="160" w:before="320"/>
      </w:pPr>
      <w:r>
        <w:rPr>
          <w:rFonts w:ascii="Roboto Slab" w:cs="Roboto Slab" w:eastAsia="Roboto Slab" w:hAnsi="Roboto Slab"/>
          <w:b/>
          <w:bCs/>
          <w:color w:val="1F4E79"/>
          <w:sz w:val="30"/>
          <w:szCs w:val="30"/>
        </w:rPr>
        <w:t xml:space="preserve">Methodology</w:t>
      </w:r>
    </w:p>
    <w:p>
      <w:pPr>
        <w:pBdr>
          <w:left w:val="single" w:color="2E75B6" w:sz="18"/>
        </w:pBdr>
        <w:shd w:fill="F5F7FA" w:val="clear"/>
        <w:spacing w:after="120" w:line="276"/>
        <w:ind w:left="180"/>
      </w:pPr>
      <w:r>
        <w:rPr>
          <w:rFonts w:ascii="Roboto" w:cs="Roboto" w:eastAsia="Roboto" w:hAnsi="Roboto"/>
          <w:i/>
          <w:iCs/>
          <w:color w:val="595959"/>
          <w:sz w:val="20"/>
          <w:szCs w:val="20"/>
        </w:rPr>
        <w:t xml:space="preserve">A brief overview of how the engagement was conducted — scope, approach, tools at a high level. The client does not need command-by-command detail; that lives in your runbook (Part I.B).</w:t>
      </w:r>
    </w:p>
    <w:p>
      <w:pPr>
        <w:spacing w:after="120"/>
      </w:pPr>
      <w:r>
        <w:rPr>
          <w:rFonts w:ascii="Roboto" w:cs="Roboto" w:eastAsia="Roboto" w:hAnsi="Roboto"/>
          <w:i/>
          <w:iCs/>
          <w:color w:val="595959"/>
          <w:sz w:val="22"/>
          <w:szCs w:val="22"/>
        </w:rPr>
        <w:t xml:space="preserve">[Your methodology overview here.]</w:t>
      </w:r>
    </w:p>
    <w:p>
      <w:pPr>
        <w:spacing w:after="120"/>
      </w:pPr>
      <w:r>
        <w:t xml:space="preserve"/>
      </w:r>
    </w:p>
    <w:p>
      <w:pPr>
        <w:pStyle w:val="Heading1"/>
        <w:pBdr>
          <w:bottom w:val="single" w:color="1F4E79" w:sz="8"/>
        </w:pBdr>
        <w:spacing w:after="160" w:before="320"/>
      </w:pPr>
      <w:r>
        <w:rPr>
          <w:rFonts w:ascii="Roboto Slab" w:cs="Roboto Slab" w:eastAsia="Roboto Slab" w:hAnsi="Roboto Slab"/>
          <w:b/>
          <w:bCs/>
          <w:color w:val="1F4E79"/>
          <w:sz w:val="30"/>
          <w:szCs w:val="30"/>
        </w:rPr>
        <w:t xml:space="preserve">Findings</w:t>
      </w:r>
    </w:p>
    <w:p>
      <w:pPr>
        <w:spacing w:after="120" w:line="276"/>
      </w:pPr>
      <w:r>
        <w:rPr>
          <w:rFonts w:ascii="Roboto" w:cs="Roboto" w:eastAsia="Roboto" w:hAnsi="Roboto"/>
          <w:color w:val="1A1A1A"/>
          <w:sz w:val="22"/>
          <w:szCs w:val="22"/>
        </w:rPr>
        <w:t xml:space="preserve">Organized by severity, highest first. Each finding has a number, title, severity, affected host/port, description, evidence (screenshot), impact, and recommendation.</w:t>
      </w:r>
    </w:p>
    <w:p>
      <w:pPr>
        <w:pStyle w:val="Heading2"/>
        <w:spacing w:after="120" w:before="240"/>
      </w:pPr>
      <w:r>
        <w:rPr>
          <w:rFonts w:ascii="Roboto Slab" w:cs="Roboto Slab" w:eastAsia="Roboto Slab" w:hAnsi="Roboto Slab"/>
          <w:b/>
          <w:bCs/>
          <w:color w:val="2E75B6"/>
          <w:sz w:val="24"/>
          <w:szCs w:val="24"/>
        </w:rPr>
        <w:t xml:space="preserve">Finding — structure to follow</w:t>
      </w:r>
    </w:p>
    <w:p>
      <w:pPr>
        <w:pBdr>
          <w:left w:val="single" w:color="2E75B6" w:sz="18"/>
        </w:pBdr>
        <w:shd w:fill="F5F7FA" w:val="clear"/>
        <w:spacing w:after="120" w:line="276"/>
        <w:ind w:left="180"/>
      </w:pPr>
      <w:r>
        <w:rPr>
          <w:rFonts w:ascii="Roboto" w:cs="Roboto" w:eastAsia="Roboto" w:hAnsi="Roboto"/>
          <w:i/>
          <w:iCs/>
          <w:color w:val="595959"/>
          <w:sz w:val="20"/>
          <w:szCs w:val="20"/>
        </w:rPr>
        <w:t xml:space="preserve">One card per finding, highest severity first. Keep every field. A fully worked example finding is in the Engagement Packet Worked Example (linked from the Lab 1.0 page).</w:t>
      </w:r>
    </w:p>
    <w:p>
      <w:pPr>
        <w:spacing w:after="60"/>
      </w:pPr>
      <w:r>
        <w:t xml:space="preserve"/>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single" w:color="D9D9D9" w:sz="4"/>
              <w:left w:val="single" w:color="D68910" w:sz="24"/>
              <w:bottom w:val="single" w:color="D9D9D9" w:sz="4"/>
              <w:right w:val="single" w:color="D9D9D9" w:sz="4"/>
            </w:tcBorders>
            <w:shd w:fill="F5F7FA" w:val="clear"/>
            <w:tcMar>
              <w:top w:type="dxa" w:w="140"/>
              <w:left w:type="dxa" w:w="200"/>
              <w:bottom w:type="dxa" w:w="140"/>
              <w:right w:type="dxa" w:w="200"/>
            </w:tcMar>
          </w:tcPr>
          <w:p>
            <w:pPr>
              <w:spacing w:after="60"/>
            </w:pPr>
            <w:r>
              <w:rPr>
                <w:rFonts w:ascii="Roboto Slab" w:cs="Roboto Slab" w:eastAsia="Roboto Slab" w:hAnsi="Roboto Slab"/>
                <w:b/>
                <w:bCs/>
                <w:color w:val="1F4E79"/>
                <w:sz w:val="22"/>
                <w:szCs w:val="22"/>
              </w:rPr>
              <w:t xml:space="preserve">FINDING 001 — [Title of your highest-severity finding]</w:t>
            </w:r>
          </w:p>
          <w:p>
            <w:pPr>
              <w:spacing w:after="100"/>
            </w:pPr>
            <w:r>
              <w:rPr>
                <w:rFonts w:ascii="Roboto" w:cs="Roboto" w:eastAsia="Roboto" w:hAnsi="Roboto"/>
                <w:b/>
                <w:bCs/>
                <w:color w:val="1A1A1A"/>
                <w:sz w:val="20"/>
                <w:szCs w:val="20"/>
              </w:rPr>
              <w:t xml:space="preserve">Severity: </w:t>
            </w:r>
            <w:r>
              <w:rPr>
                <w:rFonts w:ascii="Roboto" w:cs="Roboto" w:eastAsia="Roboto" w:hAnsi="Roboto"/>
                <w:color w:val="595959"/>
                <w:sz w:val="20"/>
                <w:szCs w:val="20"/>
              </w:rPr>
              <w:t xml:space="preserve">[Critical / High / Medium / Low]</w:t>
            </w:r>
            <w:r>
              <w:rPr>
                <w:rFonts w:ascii="Roboto" w:cs="Roboto" w:eastAsia="Roboto" w:hAnsi="Roboto"/>
                <w:color w:val="595959"/>
                <w:sz w:val="20"/>
                <w:szCs w:val="20"/>
              </w:rPr>
              <w:t xml:space="preserve">    Affected: [host / system / account]</w:t>
            </w:r>
          </w:p>
          <w:p>
            <w:pPr>
              <w:spacing w:after="40"/>
            </w:pPr>
            <w:r>
              <w:rPr>
                <w:rFonts w:ascii="Roboto" w:cs="Roboto" w:eastAsia="Roboto" w:hAnsi="Roboto"/>
                <w:b/>
                <w:bCs/>
                <w:color w:val="2E75B6"/>
                <w:sz w:val="20"/>
                <w:szCs w:val="20"/>
              </w:rPr>
              <w:t xml:space="preserve">Description</w:t>
            </w:r>
          </w:p>
          <w:p>
            <w:pPr>
              <w:spacing w:after="100"/>
            </w:pPr>
            <w:r>
              <w:rPr>
                <w:rFonts w:ascii="Roboto" w:cs="Roboto" w:eastAsia="Roboto" w:hAnsi="Roboto"/>
                <w:color w:val="595959"/>
                <w:sz w:val="21"/>
                <w:szCs w:val="21"/>
              </w:rPr>
              <w:t xml:space="preserve">[What the issue is, in client-readable terms.]</w:t>
            </w:r>
          </w:p>
          <w:p>
            <w:pPr>
              <w:spacing w:after="40"/>
            </w:pPr>
            <w:r>
              <w:rPr>
                <w:rFonts w:ascii="Roboto" w:cs="Roboto" w:eastAsia="Roboto" w:hAnsi="Roboto"/>
                <w:b/>
                <w:bCs/>
                <w:color w:val="2E75B6"/>
                <w:sz w:val="20"/>
                <w:szCs w:val="20"/>
              </w:rPr>
              <w:t xml:space="preserve">Evidence</w:t>
            </w:r>
          </w:p>
          <w:p>
            <w:pPr>
              <w:spacing w:after="100"/>
            </w:pPr>
            <w:r>
              <w:rPr>
                <w:rFonts w:ascii="Roboto" w:cs="Roboto" w:eastAsia="Roboto" w:hAnsi="Roboto"/>
                <w:i/>
                <w:iCs/>
                <w:color w:val="595959"/>
                <w:sz w:val="21"/>
                <w:szCs w:val="21"/>
              </w:rPr>
              <w:t xml:space="preserve">[Reference the screenshot/output that proves it; full output in Appendix.]</w:t>
            </w:r>
          </w:p>
          <w:p>
            <w:pPr>
              <w:spacing w:after="40"/>
            </w:pPr>
            <w:r>
              <w:rPr>
                <w:rFonts w:ascii="Roboto" w:cs="Roboto" w:eastAsia="Roboto" w:hAnsi="Roboto"/>
                <w:b/>
                <w:bCs/>
                <w:color w:val="2E75B6"/>
                <w:sz w:val="20"/>
                <w:szCs w:val="20"/>
              </w:rPr>
              <w:t xml:space="preserve">Impact</w:t>
            </w:r>
          </w:p>
          <w:p>
            <w:pPr>
              <w:spacing w:after="100"/>
            </w:pPr>
            <w:r>
              <w:rPr>
                <w:rFonts w:ascii="Roboto" w:cs="Roboto" w:eastAsia="Roboto" w:hAnsi="Roboto"/>
                <w:color w:val="595959"/>
                <w:sz w:val="21"/>
                <w:szCs w:val="21"/>
              </w:rPr>
              <w:t xml:space="preserve">[What it means for the business if left unaddressed.]</w:t>
            </w:r>
          </w:p>
          <w:p>
            <w:pPr>
              <w:spacing w:after="40"/>
            </w:pPr>
            <w:r>
              <w:rPr>
                <w:rFonts w:ascii="Roboto" w:cs="Roboto" w:eastAsia="Roboto" w:hAnsi="Roboto"/>
                <w:b/>
                <w:bCs/>
                <w:color w:val="2E75B6"/>
                <w:sz w:val="20"/>
                <w:szCs w:val="20"/>
              </w:rPr>
              <w:t xml:space="preserve">Recommendation</w:t>
            </w:r>
          </w:p>
          <w:p>
            <w:r>
              <w:rPr>
                <w:rFonts w:ascii="Roboto" w:cs="Roboto" w:eastAsia="Roboto" w:hAnsi="Roboto"/>
                <w:color w:val="595959"/>
                <w:sz w:val="21"/>
                <w:szCs w:val="21"/>
              </w:rPr>
              <w:t xml:space="preserve">[The specific fix, and any longer-term measure.]</w:t>
            </w:r>
          </w:p>
        </w:tc>
      </w:tr>
    </w:tbl>
    <w:p>
      <w:pPr>
        <w:spacing w:after="120"/>
      </w:pPr>
      <w:r>
        <w:t xml:space="preserve"/>
      </w:r>
    </w:p>
    <w:p>
      <w:pPr>
        <w:spacing w:after="120"/>
      </w:pPr>
      <w:r>
        <w:rPr>
          <w:rFonts w:ascii="Roboto" w:cs="Roboto" w:eastAsia="Roboto" w:hAnsi="Roboto"/>
          <w:i/>
          <w:iCs/>
          <w:color w:val="595959"/>
          <w:sz w:val="22"/>
          <w:szCs w:val="22"/>
        </w:rPr>
        <w:t xml:space="preserve">[Add your remaining findings here, highest severity first.]</w:t>
      </w:r>
    </w:p>
    <w:p>
      <w:pPr>
        <w:spacing w:after="120"/>
      </w:pPr>
      <w:r>
        <w:t xml:space="preserve"/>
      </w:r>
    </w:p>
    <w:p>
      <w:pPr>
        <w:pStyle w:val="Heading1"/>
        <w:pBdr>
          <w:bottom w:val="single" w:color="1F4E79" w:sz="8"/>
        </w:pBdr>
        <w:spacing w:after="160" w:before="320"/>
      </w:pPr>
      <w:r>
        <w:rPr>
          <w:rFonts w:ascii="Roboto Slab" w:cs="Roboto Slab" w:eastAsia="Roboto Slab" w:hAnsi="Roboto Slab"/>
          <w:b/>
          <w:bCs/>
          <w:color w:val="1F4E79"/>
          <w:sz w:val="30"/>
          <w:szCs w:val="30"/>
        </w:rPr>
        <w:t xml:space="preserve">Risk Analysis</w:t>
      </w:r>
    </w:p>
    <w:p>
      <w:pPr>
        <w:pBdr>
          <w:left w:val="single" w:color="2E75B6" w:sz="18"/>
        </w:pBdr>
        <w:shd w:fill="F5F7FA" w:val="clear"/>
        <w:spacing w:after="120" w:line="276"/>
        <w:ind w:left="180"/>
      </w:pPr>
      <w:r>
        <w:rPr>
          <w:rFonts w:ascii="Roboto" w:cs="Roboto" w:eastAsia="Roboto" w:hAnsi="Roboto"/>
          <w:i/>
          <w:iCs/>
          <w:color w:val="595959"/>
          <w:sz w:val="20"/>
          <w:szCs w:val="20"/>
        </w:rPr>
        <w:t xml:space="preserve">Likelihood × impact for each finding. A simple table mapping each finding number to a likelihood, an impact, and a resulting risk rating is enough — keep it consistent with your severity labels in Findings.</w:t>
      </w:r>
    </w:p>
    <w:tbl>
      <w:tblPr>
        <w:tblW w:type="pct" w:w="100%"/>
        <w:tblBorders>
          <w:top w:val="single" w:color="D9D9D9" w:sz="4"/>
          <w:left w:val="single" w:color="D9D9D9" w:sz="4"/>
          <w:bottom w:val="single" w:color="D9D9D9" w:sz="4"/>
          <w:right w:val="single" w:color="D9D9D9" w:sz="4"/>
          <w:insideH w:val="single" w:color="D9D9D9" w:sz="4"/>
          <w:insideV w:val="single" w:color="D9D9D9" w:sz="4"/>
        </w:tblBorders>
      </w:tblPr>
      <w:tblGrid>
        <w:gridCol w:w="100"/>
        <w:gridCol w:w="100"/>
        <w:gridCol w:w="100"/>
        <w:gridCol w:w="100"/>
        <w:gridCol w:w="100"/>
      </w:tblGrid>
      <w:tr>
        <w:trPr>
          <w:tblHeader/>
        </w:trPr>
        <w:tc>
          <w:tcPr>
            <w:tcW w:type="pct" w:w="16%"/>
            <w:shd w:fill="1F4E79" w:val="clear"/>
            <w:tcMar>
              <w:top w:type="dxa" w:w="70"/>
              <w:left w:type="dxa" w:w="110"/>
              <w:bottom w:type="dxa" w:w="70"/>
              <w:right w:type="dxa" w:w="110"/>
            </w:tcMar>
            <w:vAlign w:val="center"/>
          </w:tcPr>
          <w:p>
            <w:r>
              <w:rPr>
                <w:rFonts w:ascii="Roboto" w:cs="Roboto" w:eastAsia="Roboto" w:hAnsi="Roboto"/>
                <w:b/>
                <w:bCs/>
                <w:color w:val="FFFFFF"/>
                <w:sz w:val="19"/>
                <w:szCs w:val="19"/>
              </w:rPr>
              <w:t xml:space="preserve">Finding</w:t>
            </w:r>
          </w:p>
        </w:tc>
        <w:tc>
          <w:tcPr>
            <w:tcW w:type="pct" w:w="22%"/>
            <w:shd w:fill="1F4E79" w:val="clear"/>
            <w:tcMar>
              <w:top w:type="dxa" w:w="70"/>
              <w:left w:type="dxa" w:w="110"/>
              <w:bottom w:type="dxa" w:w="70"/>
              <w:right w:type="dxa" w:w="110"/>
            </w:tcMar>
            <w:vAlign w:val="center"/>
          </w:tcPr>
          <w:p>
            <w:r>
              <w:rPr>
                <w:rFonts w:ascii="Roboto" w:cs="Roboto" w:eastAsia="Roboto" w:hAnsi="Roboto"/>
                <w:b/>
                <w:bCs/>
                <w:color w:val="FFFFFF"/>
                <w:sz w:val="19"/>
                <w:szCs w:val="19"/>
              </w:rPr>
              <w:t xml:space="preserve">Likelihood</w:t>
            </w:r>
          </w:p>
        </w:tc>
        <w:tc>
          <w:tcPr>
            <w:tcW w:type="pct" w:w="22%"/>
            <w:shd w:fill="1F4E79" w:val="clear"/>
            <w:tcMar>
              <w:top w:type="dxa" w:w="70"/>
              <w:left w:type="dxa" w:w="110"/>
              <w:bottom w:type="dxa" w:w="70"/>
              <w:right w:type="dxa" w:w="110"/>
            </w:tcMar>
            <w:vAlign w:val="center"/>
          </w:tcPr>
          <w:p>
            <w:r>
              <w:rPr>
                <w:rFonts w:ascii="Roboto" w:cs="Roboto" w:eastAsia="Roboto" w:hAnsi="Roboto"/>
                <w:b/>
                <w:bCs/>
                <w:color w:val="FFFFFF"/>
                <w:sz w:val="19"/>
                <w:szCs w:val="19"/>
              </w:rPr>
              <w:t xml:space="preserve">Impact</w:t>
            </w:r>
          </w:p>
        </w:tc>
        <w:tc>
          <w:tcPr>
            <w:tcW w:type="pct" w:w="22%"/>
            <w:shd w:fill="1F4E79" w:val="clear"/>
            <w:tcMar>
              <w:top w:type="dxa" w:w="70"/>
              <w:left w:type="dxa" w:w="110"/>
              <w:bottom w:type="dxa" w:w="70"/>
              <w:right w:type="dxa" w:w="110"/>
            </w:tcMar>
            <w:vAlign w:val="center"/>
          </w:tcPr>
          <w:p>
            <w:r>
              <w:rPr>
                <w:rFonts w:ascii="Roboto" w:cs="Roboto" w:eastAsia="Roboto" w:hAnsi="Roboto"/>
                <w:b/>
                <w:bCs/>
                <w:color w:val="FFFFFF"/>
                <w:sz w:val="19"/>
                <w:szCs w:val="19"/>
              </w:rPr>
              <w:t xml:space="preserve">Risk Rating</w:t>
            </w:r>
          </w:p>
        </w:tc>
        <w:tc>
          <w:tcPr>
            <w:tcW w:type="pct" w:w="18%"/>
            <w:shd w:fill="1F4E79" w:val="clear"/>
            <w:tcMar>
              <w:top w:type="dxa" w:w="70"/>
              <w:left w:type="dxa" w:w="110"/>
              <w:bottom w:type="dxa" w:w="70"/>
              <w:right w:type="dxa" w:w="110"/>
            </w:tcMar>
            <w:vAlign w:val="center"/>
          </w:tcPr>
          <w:p>
            <w:r>
              <w:rPr>
                <w:rFonts w:ascii="Roboto" w:cs="Roboto" w:eastAsia="Roboto" w:hAnsi="Roboto"/>
                <w:b/>
                <w:bCs/>
                <w:color w:val="FFFFFF"/>
                <w:sz w:val="19"/>
                <w:szCs w:val="19"/>
              </w:rPr>
              <w:t xml:space="preserve">Priority</w:t>
            </w:r>
          </w:p>
        </w:tc>
      </w:tr>
      <w:tr>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001</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r>
      <w:tr>
        <w:tc>
          <w:tcPr>
            <w:shd w:fill="FFFFFF" w:val="clea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r>
    </w:tbl>
    <w:p>
      <w:pPr>
        <w:spacing w:after="120"/>
      </w:pPr>
      <w:r>
        <w:t xml:space="preserve"/>
      </w:r>
    </w:p>
    <w:p>
      <w:pPr>
        <w:pStyle w:val="Heading1"/>
        <w:pBdr>
          <w:bottom w:val="single" w:color="1F4E79" w:sz="8"/>
        </w:pBdr>
        <w:spacing w:after="160" w:before="320"/>
      </w:pPr>
      <w:r>
        <w:rPr>
          <w:rFonts w:ascii="Roboto Slab" w:cs="Roboto Slab" w:eastAsia="Roboto Slab" w:hAnsi="Roboto Slab"/>
          <w:b/>
          <w:bCs/>
          <w:color w:val="1F4E79"/>
          <w:sz w:val="30"/>
          <w:szCs w:val="30"/>
        </w:rPr>
        <w:t xml:space="preserve">Recommendations</w:t>
      </w:r>
    </w:p>
    <w:p>
      <w:pPr>
        <w:pBdr>
          <w:left w:val="single" w:color="2E75B6" w:sz="18"/>
        </w:pBdr>
        <w:shd w:fill="F5F7FA" w:val="clear"/>
        <w:spacing w:after="120" w:line="276"/>
        <w:ind w:left="180"/>
      </w:pPr>
      <w:r>
        <w:rPr>
          <w:rFonts w:ascii="Roboto" w:cs="Roboto" w:eastAsia="Roboto" w:hAnsi="Roboto"/>
          <w:i/>
          <w:iCs/>
          <w:color w:val="595959"/>
          <w:sz w:val="20"/>
          <w:szCs w:val="20"/>
        </w:rPr>
        <w:t xml:space="preserve">Prioritized — what to do Monday vs. what to plan for the next budget cycle. Tie each recommendation back to a finding number so the client can trace it.</w:t>
      </w:r>
    </w:p>
    <w:p>
      <w:pPr>
        <w:pStyle w:val="ListParagraph"/>
        <w:numPr>
          <w:ilvl w:val="0"/>
          <w:numId w:val="2"/>
        </w:numPr>
        <w:spacing w:after="80"/>
      </w:pPr>
      <w:r>
        <w:rPr>
          <w:rFonts w:ascii="Roboto" w:cs="Roboto" w:eastAsia="Roboto" w:hAnsi="Roboto"/>
          <w:b/>
          <w:bCs/>
          <w:color w:val="1A1A1A"/>
          <w:sz w:val="22"/>
          <w:szCs w:val="22"/>
        </w:rPr>
        <w:t xml:space="preserve">This week: </w:t>
      </w:r>
      <w:r>
        <w:rPr>
          <w:rFonts w:ascii="Roboto" w:cs="Roboto" w:eastAsia="Roboto" w:hAnsi="Roboto"/>
          <w:i/>
          <w:iCs/>
          <w:color w:val="595959"/>
          <w:sz w:val="22"/>
          <w:szCs w:val="22"/>
        </w:rPr>
        <w:t xml:space="preserve">[Highest-priority fix, tied to your top finding.]</w:t>
      </w:r>
    </w:p>
    <w:p>
      <w:pPr>
        <w:pStyle w:val="ListParagraph"/>
        <w:numPr>
          <w:ilvl w:val="0"/>
          <w:numId w:val="2"/>
        </w:numPr>
        <w:spacing w:after="80"/>
      </w:pPr>
      <w:r>
        <w:rPr>
          <w:rFonts w:ascii="Roboto" w:cs="Roboto" w:eastAsia="Roboto" w:hAnsi="Roboto"/>
          <w:b/>
          <w:bCs/>
          <w:color w:val="1A1A1A"/>
          <w:sz w:val="22"/>
          <w:szCs w:val="22"/>
        </w:rPr>
        <w:t xml:space="preserve">This quarter: </w:t>
      </w:r>
      <w:r>
        <w:rPr>
          <w:rFonts w:ascii="Roboto" w:cs="Roboto" w:eastAsia="Roboto" w:hAnsi="Roboto"/>
          <w:i/>
          <w:iCs/>
          <w:color w:val="595959"/>
          <w:sz w:val="22"/>
          <w:szCs w:val="22"/>
        </w:rPr>
        <w:t xml:space="preserve">[Medium-term measure.]</w:t>
      </w:r>
    </w:p>
    <w:p>
      <w:pPr>
        <w:pStyle w:val="ListParagraph"/>
        <w:numPr>
          <w:ilvl w:val="0"/>
          <w:numId w:val="2"/>
        </w:numPr>
        <w:spacing w:after="80"/>
      </w:pPr>
      <w:r>
        <w:rPr>
          <w:rFonts w:ascii="Roboto" w:cs="Roboto" w:eastAsia="Roboto" w:hAnsi="Roboto"/>
          <w:i/>
          <w:iCs/>
          <w:color w:val="595959"/>
          <w:sz w:val="22"/>
          <w:szCs w:val="22"/>
        </w:rPr>
        <w:t xml:space="preserve">[Add your prioritized recommendations here, each tied to a finding number.]</w:t>
      </w:r>
    </w:p>
    <w:p>
      <w:pPr>
        <w:spacing w:after="120"/>
      </w:pPr>
      <w:r>
        <w:t xml:space="preserve"/>
      </w:r>
    </w:p>
    <w:p>
      <w:pPr>
        <w:pStyle w:val="Heading1"/>
        <w:pBdr>
          <w:bottom w:val="single" w:color="1F4E79" w:sz="8"/>
        </w:pBdr>
        <w:spacing w:after="160" w:before="320"/>
      </w:pPr>
      <w:r>
        <w:rPr>
          <w:rFonts w:ascii="Roboto Slab" w:cs="Roboto Slab" w:eastAsia="Roboto Slab" w:hAnsi="Roboto Slab"/>
          <w:b/>
          <w:bCs/>
          <w:color w:val="1F4E79"/>
          <w:sz w:val="30"/>
          <w:szCs w:val="30"/>
        </w:rPr>
        <w:t xml:space="preserve">Appendix</w:t>
      </w:r>
    </w:p>
    <w:p>
      <w:pPr>
        <w:spacing w:after="120" w:line="276"/>
      </w:pPr>
      <w:r>
        <w:rPr>
          <w:rFonts w:ascii="Roboto" w:cs="Roboto" w:eastAsia="Roboto" w:hAnsi="Roboto"/>
          <w:color w:val="1A1A1A"/>
          <w:sz w:val="22"/>
          <w:szCs w:val="22"/>
        </w:rPr>
        <w:t xml:space="preserve">Supporting evidence that would disrupt the flow of the main report: raw (scrubbed) tool output, additional screenshots, and your references.</w:t>
      </w:r>
    </w:p>
    <w:p>
      <w:pPr>
        <w:pStyle w:val="Heading2"/>
        <w:spacing w:after="120" w:before="240"/>
      </w:pPr>
      <w:r>
        <w:rPr>
          <w:rFonts w:ascii="Roboto Slab" w:cs="Roboto Slab" w:eastAsia="Roboto Slab" w:hAnsi="Roboto Slab"/>
          <w:b/>
          <w:bCs/>
          <w:color w:val="2E75B6"/>
          <w:sz w:val="24"/>
          <w:szCs w:val="24"/>
        </w:rPr>
        <w:t xml:space="preserve">A. Raw Tool Output</w:t>
      </w:r>
    </w:p>
    <w:p>
      <w:pPr>
        <w:spacing w:after="120"/>
      </w:pPr>
      <w:r>
        <w:rPr>
          <w:rFonts w:ascii="Roboto" w:cs="Roboto" w:eastAsia="Roboto" w:hAnsi="Roboto"/>
          <w:i/>
          <w:iCs/>
          <w:color w:val="595959"/>
          <w:sz w:val="22"/>
          <w:szCs w:val="22"/>
        </w:rPr>
        <w:t xml:space="preserve">[Paste complete, scrubbed scan output here — the long results you summarized in Findings.]</w:t>
      </w:r>
    </w:p>
    <w:p>
      <w:pPr>
        <w:pStyle w:val="Heading2"/>
        <w:spacing w:after="120" w:before="240"/>
      </w:pPr>
      <w:r>
        <w:rPr>
          <w:rFonts w:ascii="Roboto Slab" w:cs="Roboto Slab" w:eastAsia="Roboto Slab" w:hAnsi="Roboto Slab"/>
          <w:b/>
          <w:bCs/>
          <w:color w:val="2E75B6"/>
          <w:sz w:val="24"/>
          <w:szCs w:val="24"/>
        </w:rPr>
        <w:t xml:space="preserve">B. Additional Screenshots</w:t>
      </w:r>
    </w:p>
    <w:p>
      <w:pPr>
        <w:spacing w:after="120"/>
      </w:pPr>
      <w:r>
        <w:rPr>
          <w:rFonts w:ascii="Roboto" w:cs="Roboto" w:eastAsia="Roboto" w:hAnsi="Roboto"/>
          <w:i/>
          <w:iCs/>
          <w:color w:val="595959"/>
          <w:sz w:val="22"/>
          <w:szCs w:val="22"/>
        </w:rPr>
        <w:t xml:space="preserve">[Screenshots that add context but weren’t essential to the main narrative. kali-abc123 visible in each.]</w:t>
      </w:r>
    </w:p>
    <w:p>
      <w:pPr>
        <w:pStyle w:val="Heading2"/>
        <w:spacing w:after="120" w:before="240"/>
      </w:pPr>
      <w:r>
        <w:rPr>
          <w:rFonts w:ascii="Roboto Slab" w:cs="Roboto Slab" w:eastAsia="Roboto Slab" w:hAnsi="Roboto Slab"/>
          <w:b/>
          <w:bCs/>
          <w:color w:val="2E75B6"/>
          <w:sz w:val="24"/>
          <w:szCs w:val="24"/>
        </w:rPr>
        <w:t xml:space="preserve">C. References</w:t>
      </w:r>
    </w:p>
    <w:p>
      <w:pPr>
        <w:pBdr>
          <w:left w:val="single" w:color="2E75B6" w:sz="18"/>
        </w:pBdr>
        <w:shd w:fill="F5F7FA" w:val="clear"/>
        <w:spacing w:after="120" w:line="276"/>
        <w:ind w:left="180"/>
      </w:pPr>
      <w:r>
        <w:rPr>
          <w:rFonts w:ascii="Roboto" w:cs="Roboto" w:eastAsia="Roboto" w:hAnsi="Roboto"/>
          <w:i/>
          <w:iCs/>
          <w:color w:val="595959"/>
          <w:sz w:val="20"/>
          <w:szCs w:val="20"/>
        </w:rPr>
        <w:t xml:space="preserve">Minimum 10 references, properly formatted. CVE entries, vendor advisories, NIST publications, and tool documentation all count. Format consistently (APA is fine).</w:t>
      </w:r>
    </w:p>
    <w:p>
      <w:pPr>
        <w:pStyle w:val="ListParagraph"/>
        <w:numPr>
          <w:ilvl w:val="0"/>
          <w:numId w:val="3"/>
        </w:numPr>
        <w:spacing w:after="80"/>
      </w:pPr>
      <w:r>
        <w:rPr>
          <w:rFonts w:ascii="Roboto" w:cs="Roboto" w:eastAsia="Roboto" w:hAnsi="Roboto"/>
          <w:color w:val="1A1A1A"/>
          <w:sz w:val="22"/>
          <w:szCs w:val="22"/>
        </w:rPr>
        <w:t xml:space="preserve">[Reference 1]</w:t>
      </w:r>
    </w:p>
    <w:p>
      <w:pPr>
        <w:pStyle w:val="ListParagraph"/>
        <w:numPr>
          <w:ilvl w:val="0"/>
          <w:numId w:val="3"/>
        </w:numPr>
        <w:spacing w:after="80"/>
      </w:pPr>
      <w:r>
        <w:rPr>
          <w:rFonts w:ascii="Roboto" w:cs="Roboto" w:eastAsia="Roboto" w:hAnsi="Roboto"/>
          <w:color w:val="1A1A1A"/>
          <w:sz w:val="22"/>
          <w:szCs w:val="22"/>
        </w:rPr>
        <w:t xml:space="preserve">[Reference 2]</w:t>
      </w:r>
    </w:p>
    <w:p>
      <w:pPr>
        <w:pStyle w:val="ListParagraph"/>
        <w:numPr>
          <w:ilvl w:val="0"/>
          <w:numId w:val="3"/>
        </w:numPr>
        <w:spacing w:after="80"/>
      </w:pPr>
      <w:r>
        <w:rPr>
          <w:rFonts w:ascii="Roboto" w:cs="Roboto" w:eastAsia="Roboto" w:hAnsi="Roboto"/>
          <w:color w:val="1A1A1A"/>
          <w:sz w:val="22"/>
          <w:szCs w:val="22"/>
        </w:rPr>
        <w:t xml:space="preserve">[Reference 3]</w:t>
      </w:r>
    </w:p>
    <w:p>
      <w:pPr>
        <w:pStyle w:val="ListParagraph"/>
        <w:numPr>
          <w:ilvl w:val="0"/>
          <w:numId w:val="3"/>
        </w:numPr>
        <w:spacing w:after="80"/>
      </w:pPr>
      <w:r>
        <w:rPr>
          <w:rFonts w:ascii="Roboto" w:cs="Roboto" w:eastAsia="Roboto" w:hAnsi="Roboto"/>
          <w:color w:val="1A1A1A"/>
          <w:sz w:val="22"/>
          <w:szCs w:val="22"/>
        </w:rPr>
        <w:t xml:space="preserve">[Reference 4]</w:t>
      </w:r>
    </w:p>
    <w:p>
      <w:pPr>
        <w:pStyle w:val="ListParagraph"/>
        <w:numPr>
          <w:ilvl w:val="0"/>
          <w:numId w:val="3"/>
        </w:numPr>
        <w:spacing w:after="80"/>
      </w:pPr>
      <w:r>
        <w:rPr>
          <w:rFonts w:ascii="Roboto" w:cs="Roboto" w:eastAsia="Roboto" w:hAnsi="Roboto"/>
          <w:color w:val="1A1A1A"/>
          <w:sz w:val="22"/>
          <w:szCs w:val="22"/>
        </w:rPr>
        <w:t xml:space="preserve">[Reference 5]</w:t>
      </w:r>
    </w:p>
    <w:p>
      <w:pPr>
        <w:pStyle w:val="ListParagraph"/>
        <w:numPr>
          <w:ilvl w:val="0"/>
          <w:numId w:val="3"/>
        </w:numPr>
        <w:spacing w:after="80"/>
      </w:pPr>
      <w:r>
        <w:rPr>
          <w:rFonts w:ascii="Roboto" w:cs="Roboto" w:eastAsia="Roboto" w:hAnsi="Roboto"/>
          <w:color w:val="1A1A1A"/>
          <w:sz w:val="22"/>
          <w:szCs w:val="22"/>
        </w:rPr>
        <w:t xml:space="preserve">[Reference 6]</w:t>
      </w:r>
    </w:p>
    <w:p>
      <w:pPr>
        <w:pStyle w:val="ListParagraph"/>
        <w:numPr>
          <w:ilvl w:val="0"/>
          <w:numId w:val="3"/>
        </w:numPr>
        <w:spacing w:after="80"/>
      </w:pPr>
      <w:r>
        <w:rPr>
          <w:rFonts w:ascii="Roboto" w:cs="Roboto" w:eastAsia="Roboto" w:hAnsi="Roboto"/>
          <w:color w:val="1A1A1A"/>
          <w:sz w:val="22"/>
          <w:szCs w:val="22"/>
        </w:rPr>
        <w:t xml:space="preserve">[Reference 7]</w:t>
      </w:r>
    </w:p>
    <w:p>
      <w:pPr>
        <w:pStyle w:val="ListParagraph"/>
        <w:numPr>
          <w:ilvl w:val="0"/>
          <w:numId w:val="3"/>
        </w:numPr>
        <w:spacing w:after="80"/>
      </w:pPr>
      <w:r>
        <w:rPr>
          <w:rFonts w:ascii="Roboto" w:cs="Roboto" w:eastAsia="Roboto" w:hAnsi="Roboto"/>
          <w:color w:val="1A1A1A"/>
          <w:sz w:val="22"/>
          <w:szCs w:val="22"/>
        </w:rPr>
        <w:t xml:space="preserve">[Reference 8]</w:t>
      </w:r>
    </w:p>
    <w:p>
      <w:pPr>
        <w:pStyle w:val="ListParagraph"/>
        <w:numPr>
          <w:ilvl w:val="0"/>
          <w:numId w:val="3"/>
        </w:numPr>
        <w:spacing w:after="80"/>
      </w:pPr>
      <w:r>
        <w:rPr>
          <w:rFonts w:ascii="Roboto" w:cs="Roboto" w:eastAsia="Roboto" w:hAnsi="Roboto"/>
          <w:color w:val="1A1A1A"/>
          <w:sz w:val="22"/>
          <w:szCs w:val="22"/>
        </w:rPr>
        <w:t xml:space="preserve">[Reference 9]</w:t>
      </w:r>
    </w:p>
    <w:p>
      <w:pPr>
        <w:pStyle w:val="ListParagraph"/>
        <w:numPr>
          <w:ilvl w:val="0"/>
          <w:numId w:val="3"/>
        </w:numPr>
        <w:spacing w:after="80"/>
      </w:pPr>
      <w:r>
        <w:rPr>
          <w:rFonts w:ascii="Roboto" w:cs="Roboto" w:eastAsia="Roboto" w:hAnsi="Roboto"/>
          <w:color w:val="1A1A1A"/>
          <w:sz w:val="22"/>
          <w:szCs w:val="22"/>
        </w:rPr>
        <w:t xml:space="preserve">[Reference 10]</w:t>
      </w:r>
    </w:p>
    <w:sectPr>
      <w:headerReference w:type="default" r:id="rId7"/>
      <w:footerReference w:type="default" r:id="rId8"/>
      <w:type w:val="nextPage"/>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9D9" w:sz="4"/>
      </w:pBdr>
      <w:tabs>
        <w:tab w:val="right" w:pos="9360"/>
      </w:tabs>
    </w:pPr>
    <w:r>
      <w:rPr>
        <w:rFonts w:ascii="Roboto" w:cs="Roboto" w:eastAsia="Roboto" w:hAnsi="Roboto"/>
        <w:color w:val="595959"/>
        <w:sz w:val="15"/>
        <w:szCs w:val="15"/>
      </w:rPr>
      <w:t xml:space="preserve">Engagement Packet</w:t>
    </w:r>
    <w:r>
      <w:rPr>
        <w:rFonts w:ascii="Roboto" w:cs="Roboto" w:eastAsia="Roboto" w:hAnsi="Roboto"/>
      </w:rPr>
      <w:t xml:space="preserve">	</w:t>
    </w:r>
    <w:r>
      <w:rPr>
        <w:rFonts w:ascii="Roboto" w:cs="Roboto" w:eastAsia="Roboto" w:hAnsi="Roboto"/>
        <w:color w:val="595959"/>
        <w:sz w:val="15"/>
        <w:szCs w:val="15"/>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9D9" w:sz="4"/>
      </w:pBdr>
      <w:tabs>
        <w:tab w:val="right" w:pos="9360"/>
      </w:tabs>
    </w:pPr>
    <w:r>
      <w:rPr>
        <w:rFonts w:ascii="Roboto" w:cs="Roboto" w:eastAsia="Roboto" w:hAnsi="Roboto"/>
        <w:color w:val="595959"/>
        <w:sz w:val="15"/>
        <w:szCs w:val="15"/>
      </w:rPr>
      <w:t xml:space="preserve">NEXUS SECURITY — CONFIDENTIAL</w:t>
    </w:r>
    <w:r>
      <w:rPr>
        <w:rFonts w:ascii="Roboto" w:cs="Roboto" w:eastAsia="Roboto" w:hAnsi="Roboto"/>
      </w:rPr>
      <w:t xml:space="preserve">	</w:t>
    </w:r>
    <w:r>
      <w:rPr>
        <w:rFonts w:ascii="Roboto" w:cs="Roboto" w:eastAsia="Roboto" w:hAnsi="Roboto"/>
        <w:color w:val="595959"/>
        <w:sz w:val="15"/>
        <w:szCs w:val="15"/>
      </w:rPr>
      <w:t xml:space="preserve">Gulf Coast Healthcare Partners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abstractNum w:abstractNumId="3" w15:restartNumberingAfterBreak="0">
    <w:multiLevelType w:val="hybridMultilevel"/>
    <w:lvl w:ilvl="0" w15:tentative="1">
      <w:start w:val="1"/>
      <w:numFmt w:val="decimal"/>
      <w:lvlText w:val="%1."/>
      <w:lvlJc w:val="left"/>
      <w:pPr>
        <w:ind w:left="540" w:hanging="28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Roboto" w:cs="Roboto" w:eastAsia="Roboto" w:hAnsi="Roboto"/>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Roboto Slab" w:cs="Roboto Slab" w:eastAsia="Roboto Slab" w:hAnsi="Roboto Slab"/>
      <w:b/>
      <w:bCs/>
      <w:color w:val="1F4E79"/>
      <w:sz w:val="30"/>
      <w:szCs w:val="30"/>
    </w:rPr>
  </w:style>
  <w:style w:type="paragraph" w:styleId="Heading2">
    <w:name w:val="Heading 2"/>
    <w:basedOn w:val="Normal"/>
    <w:next w:val="Normal"/>
    <w:qFormat/>
    <w:pPr>
      <w:spacing w:after="120" w:before="240"/>
      <w:outlineLvl w:val="1"/>
    </w:pPr>
    <w:rPr>
      <w:rFonts w:ascii="Roboto Slab" w:cs="Roboto Slab" w:eastAsia="Roboto Slab" w:hAnsi="Roboto Slab"/>
      <w:b/>
      <w:bCs/>
      <w:color w:val="2E75B6"/>
      <w:sz w:val="24"/>
      <w:szCs w:val="24"/>
    </w:rPr>
  </w:style>
  <w:style w:type="paragraph" w:styleId="Caption">
    <w:name w:val="caption"/>
    <w:basedOn w:val="Normal"/>
    <w:next w:val="Normal"/>
    <w:uiPriority w:val="35"/>
    <w:qFormat/>
    <w:pPr>
      <w:spacing w:before="120" w:after="200"/>
    </w:pPr>
    <w:rPr>
      <w:i/>
      <w:iCs/>
      <w:color w:val="44546A"/>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c6792b11216b81b8cf7c76ce1687d6cc4584213.undefined"/><Relationship Id="rId10" Type="http://schemas.openxmlformats.org/officeDocument/2006/relationships/image" Target="media/99a640005490fa2377c769451e963c81fcab9327.undefined"/><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Engagement Packet</dc:title>
  <dc:creator>NEXUS Security Consulting</dc:creator>
  <dc:description>IS-3513 Engagement Packet — Module 2 — Cryptographic Assessment</dc:description>
  <cp:lastModifiedBy>Un-named</cp:lastModifiedBy>
  <cp:revision>1</cp:revision>
  <dcterms:created xsi:type="dcterms:W3CDTF">2026-05-29T17:00:55.522Z</dcterms:created>
  <dcterms:modified xsi:type="dcterms:W3CDTF">2026-05-29T17:00:55.534Z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c123">
    <vt:lpwstr>abc123</vt:lpwstr>
  </property>
</Properties>
</file>