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jc w:val="center"/>
      </w:pPr>
      <w:r>
        <w:drawing>
          <wp:inline distT="0" distB="0" distL="0" distR="0">
            <wp:extent cx="12573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428750"/>
                    </a:xfrm>
                    <a:prstGeom prst="rect">
                      <a:avLst/>
                    </a:prstGeom>
                  </pic:spPr>
                </pic:pic>
              </a:graphicData>
            </a:graphic>
          </wp:inline>
        </w:drawing>
      </w:r>
    </w:p>
    <w:p>
      <w:pPr>
        <w:spacing w:after="80"/>
      </w:pPr>
      <w:r>
        <w:t xml:space="preserve"/>
      </w:r>
    </w:p>
    <w:p>
      <w:pPr>
        <w:spacing w:after="40"/>
        <w:jc w:val="center"/>
      </w:pPr>
      <w:r>
        <w:rPr>
          <w:rFonts w:ascii="Roboto Slab" w:cs="Roboto Slab" w:eastAsia="Roboto Slab" w:hAnsi="Roboto Slab"/>
          <w:b/>
          <w:bCs/>
          <w:color w:val="1F4E79"/>
          <w:sz w:val="30"/>
          <w:szCs w:val="30"/>
        </w:rPr>
        <w:t xml:space="preserve">NEXUS SECURITY CONSULTING</w:t>
      </w:r>
    </w:p>
    <w:p>
      <w:pPr>
        <w:spacing w:after="320"/>
        <w:jc w:val="center"/>
      </w:pPr>
      <w:r>
        <w:rPr>
          <w:sz w:val="4"/>
          <w:szCs w:val="4"/>
        </w:rPr>
        <w:t xml:space="preserve"/>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C00000" w:val="clear"/>
            <w:tcMar>
              <w:top w:type="dxa" w:w="60"/>
              <w:bottom w:type="dxa" w:w="60"/>
            </w:tcMar>
          </w:tcPr>
          <w:p>
            <w:pPr>
              <w:jc w:val="center"/>
            </w:pPr>
            <w:r>
              <w:rPr>
                <w:rFonts w:ascii="Roboto" w:cs="Roboto" w:eastAsia="Roboto" w:hAnsi="Roboto"/>
                <w:b/>
                <w:bCs/>
                <w:color w:val="FFFFFF"/>
                <w:sz w:val="22"/>
                <w:szCs w:val="22"/>
              </w:rPr>
              <w:t xml:space="preserve">CONFIDENTIAL</w:t>
            </w:r>
          </w:p>
        </w:tc>
      </w:tr>
    </w:tbl>
    <w:p>
      <w:pPr>
        <w:spacing w:after="520"/>
      </w:pPr>
      <w:r>
        <w:t xml:space="preserve"/>
      </w:r>
    </w:p>
    <w:p>
      <w:pPr>
        <w:spacing w:after="80"/>
        <w:jc w:val="center"/>
      </w:pPr>
      <w:r>
        <w:rPr>
          <w:rFonts w:ascii="Roboto Slab" w:cs="Roboto Slab" w:eastAsia="Roboto Slab" w:hAnsi="Roboto Slab"/>
          <w:b/>
          <w:bCs/>
          <w:color w:val="1F4E79"/>
          <w:sz w:val="44"/>
          <w:szCs w:val="44"/>
        </w:rPr>
        <w:t xml:space="preserve">ENGAGEMENT PACKET</w:t>
      </w:r>
    </w:p>
    <w:p>
      <w:pPr>
        <w:spacing w:after="40"/>
        <w:jc w:val="center"/>
      </w:pPr>
      <w:fldSimple w:instr="DOCPROPERTY Title \* MERGEFORMAT"/>
    </w:p>
    <w:p>
      <w:pPr>
        <w:spacing w:after="360"/>
        <w:jc w:val="center"/>
      </w:pPr>
      <w:r>
        <w:rPr>
          <w:rFonts w:ascii="Roboto" w:cs="Roboto" w:eastAsia="Roboto" w:hAnsi="Roboto"/>
          <w:color w:val="595959"/>
          <w:sz w:val="24"/>
          <w:szCs w:val="24"/>
        </w:rPr>
        <w:t xml:space="preserve">Module 5 — Risk &amp; Vulnerability Assessment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F172A" w:val="clear"/>
            <w:tcMar>
              <w:top w:type="dxa" w:w="30"/>
              <w:bottom w:type="dxa" w:w="30"/>
            </w:tcMar>
          </w:tcPr>
          <w:p>
            <w:r>
              <w:rPr>
                <w:sz w:val="8"/>
                <w:szCs w:val="8"/>
              </w:rPr>
              <w:t xml:space="preserve"/>
            </w:r>
          </w:p>
        </w:tc>
      </w:tr>
    </w:tbl>
    <w:p>
      <w:pPr>
        <w:spacing w:after="200"/>
      </w:pPr>
      <w:r>
        <w:t xml:space="preserve"/>
      </w:r>
    </w:p>
    <w:p>
      <w:pPr>
        <w:jc w:val="center"/>
      </w:pPr>
      <w:r>
        <w:drawing>
          <wp:inline distT="0" distB="0" distL="0" distR="0">
            <wp:extent cx="16192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866775"/>
                    </a:xfrm>
                    <a:prstGeom prst="rect">
                      <a:avLst/>
                    </a:prstGeom>
                  </pic:spPr>
                </pic:pic>
              </a:graphicData>
            </a:graphic>
          </wp:inline>
        </w:drawing>
      </w:r>
    </w:p>
    <w:p>
      <w:pPr>
        <w:spacing w:after="360" w:before="60"/>
        <w:jc w:val="center"/>
      </w:pPr>
      <w:r>
        <w:rPr>
          <w:rFonts w:ascii="Roboto" w:cs="Roboto" w:eastAsia="Roboto" w:hAnsi="Roboto"/>
          <w:i/>
          <w:iCs/>
          <w:color w:val="595959"/>
          <w:sz w:val="22"/>
          <w:szCs w:val="22"/>
        </w:rPr>
        <w:t xml:space="preserve">Prepared for LoneStar DevOps</w:t>
      </w:r>
    </w:p>
    <w:p>
      <w:pPr>
        <w:spacing w:after="360"/>
      </w:pPr>
      <w:r>
        <w:t xml:space="preserve"/>
      </w:r>
    </w:p>
    <w:tbl>
      <w:tblPr>
        <w:tblW w:type="pct" w:w="70%"/>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5%"/>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Analyst / Student</w:t>
            </w:r>
          </w:p>
        </w:tc>
        <w:tc>
          <w:tcPr>
            <w:tcW w:type="pct" w:w="65%"/>
            <w:tcMar>
              <w:top w:type="dxa" w:w="60"/>
              <w:left w:type="dxa" w:w="110"/>
              <w:bottom w:type="dxa" w:w="60"/>
              <w:right w:type="dxa" w:w="110"/>
            </w:tcMar>
            <w:vAlign w:val="center"/>
          </w:tcPr>
          <w:p>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Client</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LoneStar DevOps, LLC</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abc123 (VM ID)</w:t>
            </w:r>
          </w:p>
        </w:tc>
        <w:tc>
          <w:tcPr>
            <w:tcMar>
              <w:top w:type="dxa" w:w="60"/>
              <w:left w:type="dxa" w:w="110"/>
              <w:bottom w:type="dxa" w:w="60"/>
              <w:right w:type="dxa" w:w="110"/>
            </w:tcMar>
            <w:vAlign w:val="center"/>
          </w:tcPr>
          <w:p>
            <w:fldSimple w:instr="DOCPROPERTY abc123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bl>
    <w:p>
      <w:pPr>
        <w:spacing w:after="120"/>
      </w:pPr>
      <w:r>
        <w:t xml:space="preserve"/>
      </w:r>
    </w:p>
    <w:p>
      <w:pPr>
        <w:pBdr>
          <w:left w:val="single" w:color="2E75B6" w:sz="18"/>
        </w:pBdr>
        <w:shd w:fill="F5F7FA" w:val="clear"/>
        <w:spacing w:after="120" w:line="276"/>
        <w:ind w:left="180"/>
      </w:pPr>
      <w:r>
        <w:rPr>
          <w:rFonts w:ascii="Roboto" w:cs="Roboto" w:eastAsia="Roboto" w:hAnsi="Roboto"/>
          <w:i/>
          <w:iCs/>
          <w:color w:val="595959"/>
          <w:sz w:val="20"/>
          <w:szCs w:val="20"/>
        </w:rPr>
        <w:t xml:space="preserve">Set two things once, before you submit. Author — Windows: File → Info, the Author box on the right. Mac: File → Properties… → Summary. Word appends your abc123 to the existing author instead of replacing it; that is expected, leave it. The abc123 custom property — Windows: File → Info → Properties → Advanced Properties → Custom. Mac: File → Properties… → Custom. Your abc123 must match the kali-abc123 hostname visible in your screenshots; it is how we tie this packet to your VM. Then refresh every field — Windows: Ctrl+A then F9. Mac: ⌘A then F9. If F9 does nothing, your keyboard’s function keys are set to media controls — hold Fn as well, or use the Fn Lock key. This is common on laptops, Windows and Mac alike.</w:t>
      </w:r>
    </w:p>
    <w:p>
      <w:pPr>
        <w:sectPr>
          <w:pgSz w:w="12240" w:h="15840" w:orient="portrait"/>
          <w:pgMar w:top="1440" w:right="1440" w:bottom="1440" w:left="1440" w:header="708" w:footer="708" w:gutter="0"/>
          <w:pgNumType/>
          <w:docGrid w:linePitch="360"/>
        </w:sectPr>
      </w:pPr>
    </w:p>
    <w:p>
      <w:pPr>
        <w:spacing w:after="200"/>
      </w:pPr>
      <w:r>
        <w:rPr>
          <w:rFonts w:ascii="Roboto Slab" w:cs="Roboto Slab" w:eastAsia="Roboto Slab" w:hAnsi="Roboto Slab"/>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5B6" w:sz="18"/>
        </w:pBdr>
        <w:shd w:fill="F5F7FA" w:val="clear"/>
        <w:spacing w:after="120" w:line="276"/>
        <w:ind w:left="180"/>
      </w:pPr>
      <w:r>
        <w:rPr>
          <w:rFonts w:ascii="Roboto" w:cs="Roboto" w:eastAsia="Roboto" w:hAnsi="Roboto"/>
          <w:i/>
          <w:iCs/>
          <w:color w:val="595959"/>
          <w:sz w:val="20"/>
          <w:szCs w:val="20"/>
        </w:rPr>
        <w:t xml:space="preserve">This table of contents is auto-generated. After completing the packet, right-click it and choose Update Field → Update entire table. To refresh every field in the document at once — Windows: Ctrl+A then F9. Mac: ⌘A then F9. If F9 does nothing, your keyboard’s function keys are set to media controls — hold Fn as well, or use the Fn Lock key. This is common on laptops, Windows and Mac alike.</w:t>
      </w:r>
    </w:p>
    <w:p>
      <w:pPr>
        <w:sectPr>
          <w:type w:val="nextPage"/>
          <w:pgSz w:w="12240" w:h="15840" w:orient="portrait"/>
          <w:pgMar w:top="1440" w:right="1440" w:bottom="1440" w:left="1440" w:header="708" w:footer="708" w:gutter="0"/>
          <w:pgNumType/>
          <w:docGrid w:linePitch="360"/>
        </w:sectPr>
      </w:pPr>
    </w:p>
    <w:p>
      <w:pPr>
        <w:spacing w:after="80" w:before="200"/>
      </w:pPr>
      <w:r>
        <w:rPr>
          <w:rFonts w:ascii="Roboto Slab" w:cs="Roboto Slab" w:eastAsia="Roboto Slab" w:hAnsi="Roboto Slab"/>
          <w:b/>
          <w:bCs/>
          <w:color w:val="1F4E79"/>
          <w:sz w:val="48"/>
          <w:szCs w:val="48"/>
        </w:rPr>
        <w:t xml:space="preserve">PART I</w:t>
      </w:r>
    </w:p>
    <w:p>
      <w:pPr>
        <w:pBdr>
          <w:bottom w:val="single" w:color="1F4E79" w:sz="12"/>
        </w:pBdr>
        <w:spacing w:after="60"/>
      </w:pPr>
      <w:r>
        <w:rPr>
          <w:rFonts w:ascii="Roboto Slab" w:cs="Roboto Slab" w:eastAsia="Roboto Slab" w:hAnsi="Roboto Slab"/>
          <w:b/>
          <w:bCs/>
          <w:color w:val="1F4E79"/>
          <w:sz w:val="32"/>
          <w:szCs w:val="32"/>
        </w:rPr>
        <w:t xml:space="preserve">The Internal Packet</w:t>
      </w:r>
    </w:p>
    <w:p>
      <w:pPr>
        <w:spacing w:after="120" w:line="276"/>
      </w:pPr>
      <w:r>
        <w:rPr>
          <w:rFonts w:ascii="Roboto" w:cs="Roboto" w:eastAsia="Roboto" w:hAnsi="Roboto"/>
          <w:color w:val="1A1A1A"/>
          <w:sz w:val="22"/>
          <w:szCs w:val="22"/>
        </w:rPr>
        <w:t xml:space="preserve">Part I is what NEXUS keeps in the engagement file. It is internal — the client never sees it. Three components: your timesheet, your runbook, and your analyst reflection.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 NEXUS Timesheet</w:t>
      </w:r>
    </w:p>
    <w:p>
      <w:pPr>
        <w:spacing w:after="120" w:line="276"/>
      </w:pPr>
      <w:r>
        <w:rPr>
          <w:rFonts w:ascii="Roboto" w:cs="Roboto" w:eastAsia="Roboto" w:hAnsi="Roboto"/>
          <w:color w:val="1A1A1A"/>
          <w:sz w:val="22"/>
          <w:szCs w:val="22"/>
        </w:rPr>
        <w:t xml:space="preserve">Audience: NEXUS leadership / billing. Where did your hours go? Break hours out by unit, split between internal training (Units 1–2, non-billable) and client billable (Unit 3 fieldwork). Justify any unusually high or low hour count with a one-line note.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If you logged hours honestly as you went, this is a 10-minute fill-in. If you reconstruct it the night before, it will show — your scan dates, screenshot timestamps, and command history won’t line up with your claimed hours. Replace the placeholder rows below with your own. Total the columns yourself.</w:t>
      </w:r>
    </w:p>
    <w:p>
      <w:pPr>
        <w:spacing w:after="80"/>
      </w:pPr>
      <w:r>
        <w:t xml:space="preserve"/>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Week / Unit</w:t>
            </w:r>
          </w:p>
        </w:tc>
        <w:tc>
          <w:tcPr>
            <w:tcW w:type="pct" w:w="5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Task</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Type</w:t>
            </w:r>
          </w:p>
        </w:tc>
        <w:tc>
          <w:tcPr>
            <w:tcW w:type="pct" w:w="1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Hours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1</w:t>
            </w:r>
            <w:r>
              <w:br/>
            </w:r>
            <w:r>
              <w:rPr>
                <w:rFonts w:ascii="Roboto" w:cs="Roboto" w:eastAsia="Roboto" w:hAnsi="Roboto"/>
                <w:color w:val="1A1A1A"/>
                <w:sz w:val="20"/>
                <w:szCs w:val="20"/>
              </w:rPr>
              <w:t xml:space="preserve">Unit 1</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2</w:t>
            </w:r>
            <w:r>
              <w:br/>
            </w:r>
            <w:r>
              <w:rPr>
                <w:rFonts w:ascii="Roboto" w:cs="Roboto" w:eastAsia="Roboto" w:hAnsi="Roboto"/>
                <w:color w:val="1A1A1A"/>
                <w:sz w:val="20"/>
                <w:szCs w:val="20"/>
              </w:rPr>
              <w:t xml:space="preserve">Unit 2</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2]</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[Engagement fieldwork — what you did for the client]</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gridSpan w:val="2"/>
            <w:shd w:fill="1F4E79" w:val="clear"/>
            <w:tcMar>
              <w:top w:type="dxa" w:w="60"/>
              <w:left w:type="dxa" w:w="110"/>
              <w:bottom w:type="dxa" w:w="60"/>
              <w:right w:type="dxa" w:w="110"/>
            </w:tcMar>
            <w:vAlign w:val="center"/>
          </w:tcPr>
          <w:p>
            <w:pPr>
              <w:jc w:val="right"/>
            </w:pPr>
            <w:r>
              <w:rPr>
                <w:rFonts w:ascii="Roboto" w:cs="Roboto" w:eastAsia="Roboto" w:hAnsi="Roboto"/>
                <w:color w:val="1A1A1A"/>
                <w:sz w:val="20"/>
                <w:szCs w:val="20"/>
              </w:rPr>
              <w:t xml:space="preserve">TOTAL</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19"/>
                <w:szCs w:val="19"/>
              </w:rPr>
              <w:t xml:space="preserve">Internal [ ]  |  Billable [ ]</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B. Internal Runbook</w:t>
      </w:r>
    </w:p>
    <w:p>
      <w:pPr>
        <w:spacing w:after="120" w:line="276"/>
      </w:pPr>
      <w:r>
        <w:rPr>
          <w:rFonts w:ascii="Roboto" w:cs="Roboto" w:eastAsia="Roboto" w:hAnsi="Roboto"/>
          <w:color w:val="1A1A1A"/>
          <w:sz w:val="22"/>
          <w:szCs w:val="22"/>
        </w:rPr>
        <w:t xml:space="preserve">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p>
      <w:pPr>
        <w:pStyle w:val="Heading2"/>
        <w:spacing w:after="120" w:before="240"/>
      </w:pPr>
      <w:r>
        <w:rPr>
          <w:rFonts w:ascii="Roboto Slab" w:cs="Roboto Slab" w:eastAsia="Roboto Slab" w:hAnsi="Roboto Slab"/>
          <w:b/>
          <w:bCs/>
          <w:color w:val="2E75B6"/>
          <w:sz w:val="24"/>
          <w:szCs w:val="24"/>
        </w:rPr>
        <w:t xml:space="preserve">Runbook entry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Write one entry per tool or step in your engagement. Keep this structure. A fully worked example entry is in the Engagement Packet Worked Example (linked from the Lab 1.0 page).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7FA" w:val="clear"/>
            <w:tcMar>
              <w:top w:type="dxa" w:w="100"/>
              <w:left w:type="dxa" w:w="160"/>
              <w:bottom w:type="dxa" w:w="100"/>
              <w:right w:type="dxa" w:w="160"/>
            </w:tcMar>
          </w:tcPr>
          <w:p>
            <w:r>
              <w:rPr>
                <w:rFonts w:ascii="Roboto Mono" w:cs="Roboto Mono" w:eastAsia="Roboto Mono" w:hAnsi="Roboto Mono"/>
                <w:color w:val="1A1A1A"/>
                <w:sz w:val="17"/>
                <w:szCs w:val="17"/>
              </w:rPr>
              <w:t xml:space="preserve">[TOOL OR STEP NAME]</w:t>
            </w:r>
            <w:r>
              <w:br/>
            </w:r>
            <w:r>
              <w:rPr>
                <w:rFonts w:ascii="Roboto Mono" w:cs="Roboto Mono" w:eastAsia="Roboto Mono" w:hAnsi="Roboto Mono"/>
                <w:color w:val="1A1A1A"/>
                <w:sz w:val="17"/>
                <w:szCs w:val="17"/>
              </w:rPr>
              <w:t xml:space="preserve">------------------------------------------------------------</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Purpose: [what this tool/step accomplishes and why]</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Options / flags used:</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Exact command as run:</w:t>
            </w:r>
            <w:r>
              <w:br/>
            </w:r>
            <w:r>
              <w:rPr>
                <w:rFonts w:ascii="Roboto Mono" w:cs="Roboto Mono" w:eastAsia="Roboto Mono" w:hAnsi="Roboto Mono"/>
                <w:color w:val="1A1A1A"/>
                <w:sz w:val="17"/>
                <w:szCs w:val="17"/>
              </w:rPr>
              <w:t xml:space="preserve">  [the full command, copy-pasted from your terminal]</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Sample output excerpt:</w:t>
            </w:r>
            <w:r>
              <w:br/>
            </w:r>
            <w:r>
              <w:rPr>
                <w:rFonts w:ascii="Roboto Mono" w:cs="Roboto Mono" w:eastAsia="Roboto Mono" w:hAnsi="Roboto Mono"/>
                <w:color w:val="1A1A1A"/>
                <w:sz w:val="17"/>
                <w:szCs w:val="17"/>
              </w:rPr>
              <w:t xml:space="preserve">  [paste the relevant lines of output]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Next steps / interpretation:</w:t>
            </w:r>
            <w:r>
              <w:br/>
            </w:r>
            <w:r>
              <w:rPr>
                <w:rFonts w:ascii="Roboto Mono" w:cs="Roboto Mono" w:eastAsia="Roboto Mono" w:hAnsi="Roboto Mono"/>
                <w:color w:val="1A1A1A"/>
                <w:sz w:val="17"/>
                <w:szCs w:val="17"/>
              </w:rPr>
              <w:t xml:space="preserve">  [what you did with this result]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Pitfalls observed: [anything that tripped you up and how you</w:t>
            </w:r>
            <w:r>
              <w:br/>
            </w:r>
            <w:r>
              <w:rPr>
                <w:rFonts w:ascii="Roboto Mono" w:cs="Roboto Mono" w:eastAsia="Roboto Mono" w:hAnsi="Roboto Mono"/>
                <w:color w:val="1A1A1A"/>
                <w:sz w:val="17"/>
                <w:szCs w:val="17"/>
              </w:rPr>
              <w:t xml:space="preserve">got past it]</w:t>
            </w:r>
          </w:p>
        </w:tc>
      </w:tr>
    </w:tbl>
    <w:p>
      <w:pPr>
        <w:spacing w:after="120" w:line="276"/>
      </w:pPr>
      <w:r>
        <w:rPr>
          <w:rFonts w:ascii="Roboto" w:cs="Roboto" w:eastAsia="Roboto" w:hAnsi="Roboto"/>
          <w:i/>
          <w:iCs/>
          <w:color w:val="595959"/>
          <w:sz w:val="22"/>
          <w:szCs w:val="22"/>
        </w:rPr>
        <w:t xml:space="preserve">[Screenshot here — pair each runbook entry with the terminal output that produced it, kali-abc123 visible in the prompt.]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C. Analyst Reflection</w:t>
      </w:r>
    </w:p>
    <w:p>
      <w:pPr>
        <w:spacing w:after="120" w:line="276"/>
      </w:pPr>
      <w:r>
        <w:rPr>
          <w:rFonts w:ascii="Roboto" w:cs="Roboto" w:eastAsia="Roboto" w:hAnsi="Roboto"/>
          <w:color w:val="1A1A1A"/>
          <w:sz w:val="22"/>
          <w:szCs w:val="22"/>
        </w:rPr>
        <w:t xml:space="preserve">Audience: you and your instructor. This is where the learning lives. Three prompts — answer all three honestly.</w:t>
      </w:r>
    </w:p>
    <w:p>
      <w:pPr>
        <w:pStyle w:val="Heading2"/>
        <w:spacing w:after="120" w:before="240"/>
      </w:pPr>
      <w:r>
        <w:rPr>
          <w:rFonts w:ascii="Roboto Slab" w:cs="Roboto Slab" w:eastAsia="Roboto Slab" w:hAnsi="Roboto Slab"/>
          <w:b/>
          <w:bCs/>
          <w:color w:val="2E75B6"/>
          <w:sz w:val="24"/>
          <w:szCs w:val="24"/>
        </w:rPr>
        <w:t xml:space="preserve">1. Timesheet Self-Audit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pPr>
        <w:spacing w:after="120"/>
      </w:pPr>
      <w:r>
        <w:rPr>
          <w:rFonts w:ascii="Roboto" w:cs="Roboto" w:eastAsia="Roboto" w:hAnsi="Roboto"/>
          <w:i/>
          <w:iCs/>
          <w:color w:val="595959"/>
          <w:sz w:val="22"/>
          <w:szCs w:val="22"/>
        </w:rPr>
        <w:t xml:space="preserve">[Your timesheet self-audit here.]</w:t>
      </w:r>
    </w:p>
    <w:p>
      <w:pPr>
        <w:pStyle w:val="Heading2"/>
        <w:spacing w:after="120" w:before="240"/>
      </w:pPr>
      <w:r>
        <w:rPr>
          <w:rFonts w:ascii="Roboto Slab" w:cs="Roboto Slab" w:eastAsia="Roboto Slab" w:hAnsi="Roboto Slab"/>
          <w:b/>
          <w:bCs/>
          <w:color w:val="2E75B6"/>
          <w:sz w:val="24"/>
          <w:szCs w:val="24"/>
        </w:rPr>
        <w:t xml:space="preserve">2. Professional Reflection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What worked? What didn’t? If you ran this engagement again with what you know now, what would you do differently? Be specific — “I’d communicate findings to the client earlier” beats “I’d be more organized.”</w:t>
      </w:r>
    </w:p>
    <w:p>
      <w:pPr>
        <w:spacing w:after="120"/>
      </w:pPr>
      <w:r>
        <w:rPr>
          <w:rFonts w:ascii="Roboto" w:cs="Roboto" w:eastAsia="Roboto" w:hAnsi="Roboto"/>
          <w:i/>
          <w:iCs/>
          <w:color w:val="595959"/>
          <w:sz w:val="22"/>
          <w:szCs w:val="22"/>
        </w:rPr>
        <w:t xml:space="preserve">[Your professional reflection here.]</w:t>
      </w:r>
    </w:p>
    <w:p>
      <w:pPr>
        <w:pStyle w:val="Heading2"/>
        <w:spacing w:after="120" w:before="240"/>
      </w:pPr>
      <w:r>
        <w:rPr>
          <w:rFonts w:ascii="Roboto Slab" w:cs="Roboto Slab" w:eastAsia="Roboto Slab" w:hAnsi="Roboto Slab"/>
          <w:b/>
          <w:bCs/>
          <w:color w:val="2E75B6"/>
          <w:sz w:val="24"/>
          <w:szCs w:val="24"/>
        </w:rPr>
        <w:t xml:space="preserve">3. AI Methodology Reflection</w:t>
      </w:r>
    </w:p>
    <w:p>
      <w:pPr>
        <w:spacing w:after="120" w:line="276"/>
      </w:pPr>
      <w:r>
        <w:rPr>
          <w:rFonts w:ascii="Roboto" w:cs="Roboto" w:eastAsia="Roboto" w:hAnsi="Roboto"/>
          <w:i/>
          <w:iCs/>
          <w:color w:val="1A1A1A"/>
          <w:sz w:val="22"/>
          <w:szCs w:val="22"/>
        </w:rPr>
        <w:t xml:space="preserve">Where did AI help you on this engagement, how did you verify what it told you, and did you really need 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There’s no minimum word count — answer honestly. “I didn’t use AI on this engagement (N/A)” is perfectly acceptable if it’s true. But it had better be true — don’t claim N/A if your runbook is full of AI-generated explanations.</w:t>
      </w:r>
    </w:p>
    <w:p>
      <w:pPr>
        <w:spacing w:after="120"/>
      </w:pPr>
      <w:r>
        <w:rPr>
          <w:rFonts w:ascii="Roboto" w:cs="Roboto" w:eastAsia="Roboto" w:hAnsi="Roboto"/>
          <w:i/>
          <w:iCs/>
          <w:color w:val="595959"/>
          <w:sz w:val="22"/>
          <w:szCs w:val="22"/>
        </w:rPr>
        <w:t xml:space="preserve">[Your AI methodology reflection here — or a truthful N/A.]</w:t>
      </w:r>
    </w:p>
    <w:p>
      <w:r>
        <w:br w:type="page"/>
      </w:r>
    </w:p>
    <w:p>
      <w:pPr>
        <w:spacing w:after="40" w:before="240"/>
        <w:jc w:val="center"/>
      </w:pPr>
      <w:r>
        <w:rPr>
          <w:rFonts w:ascii="Roboto" w:cs="Roboto" w:eastAsia="Roboto" w:hAnsi="Roboto"/>
          <w:b/>
          <w:bCs/>
          <w:color w:val="595959"/>
          <w:spacing w:val="30"/>
          <w:sz w:val="18"/>
          <w:szCs w:val="18"/>
        </w:rPr>
        <w:t xml:space="preserve">PART II — CLIENT DELIVERABLE</w:t>
      </w:r>
    </w:p>
    <w:p>
      <w:pPr>
        <w:spacing w:after="160"/>
      </w:pPr>
      <w:r>
        <w:t xml:space="preserve"/>
      </w:r>
    </w:p>
    <w:p>
      <w:pPr>
        <w:jc w:val="center"/>
      </w:pPr>
      <w:r>
        <w:drawing>
          <wp:inline distT="0" distB="0" distL="0" distR="0">
            <wp:extent cx="1905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019175"/>
                    </a:xfrm>
                    <a:prstGeom prst="rect">
                      <a:avLst/>
                    </a:prstGeom>
                  </pic:spPr>
                </pic:pic>
              </a:graphicData>
            </a:graphic>
          </wp:inline>
        </w:drawing>
      </w:r>
    </w:p>
    <w:p>
      <w:pPr>
        <w:spacing w:after="40" w:before="80"/>
        <w:jc w:val="center"/>
      </w:pPr>
      <w:r>
        <w:rPr>
          <w:rFonts w:ascii="Roboto Slab" w:cs="Roboto Slab" w:eastAsia="Roboto Slab" w:hAnsi="Roboto Slab"/>
          <w:b/>
          <w:bCs/>
          <w:color w:val="0F172A"/>
          <w:sz w:val="30"/>
          <w:szCs w:val="30"/>
        </w:rPr>
        <w:t xml:space="preserve">LONESTAR DEVOPS</w:t>
      </w:r>
    </w:p>
    <w:tbl>
      <w:tblPr>
        <w:tblW w:type="pct" w:w="5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F172A" w:val="clear"/>
            <w:tcMar>
              <w:top w:type="dxa" w:w="24"/>
              <w:bottom w:type="dxa" w:w="24"/>
            </w:tcMar>
          </w:tcPr>
          <w:p>
            <w:r>
              <w:rPr>
                <w:sz w:val="6"/>
                <w:szCs w:val="6"/>
              </w:rPr>
              <w:t xml:space="preserve"/>
            </w:r>
          </w:p>
        </w:tc>
      </w:tr>
    </w:tbl>
    <w:p>
      <w:pPr>
        <w:spacing w:after="420"/>
      </w:pPr>
      <w:r>
        <w:t xml:space="preserve"/>
      </w:r>
    </w:p>
    <w:p>
      <w:pPr>
        <w:spacing w:after="60"/>
        <w:jc w:val="center"/>
      </w:pPr>
      <w:r>
        <w:rPr>
          <w:rFonts w:ascii="Roboto Slab" w:cs="Roboto Slab" w:eastAsia="Roboto Slab" w:hAnsi="Roboto Slab"/>
          <w:b/>
          <w:bCs/>
          <w:color w:val="1F4E79"/>
          <w:sz w:val="40"/>
          <w:szCs w:val="40"/>
        </w:rPr>
        <w:t xml:space="preserve">Risk &amp; Vulnerability Assessment</w:t>
      </w:r>
    </w:p>
    <w:p>
      <w:pPr>
        <w:spacing w:after="40"/>
        <w:jc w:val="center"/>
      </w:pPr>
      <w:r>
        <w:rPr>
          <w:rFonts w:ascii="Roboto" w:cs="Roboto" w:eastAsia="Roboto" w:hAnsi="Roboto"/>
          <w:color w:val="595959"/>
          <w:sz w:val="24"/>
          <w:szCs w:val="24"/>
        </w:rPr>
        <w:t xml:space="preserve">Security Engagement Report</w:t>
      </w:r>
    </w:p>
    <w:p>
      <w:pPr>
        <w:spacing w:after="480"/>
        <w:jc w:val="center"/>
      </w:pPr>
      <w:r>
        <w:rPr>
          <w:rFonts w:ascii="Roboto" w:cs="Roboto" w:eastAsia="Roboto" w:hAnsi="Roboto"/>
          <w:i/>
          <w:iCs/>
          <w:color w:val="595959"/>
          <w:sz w:val="22"/>
          <w:szCs w:val="22"/>
        </w:rPr>
        <w:t xml:space="preserve">Module 5 — Risk &amp; Vulnerability Assessment</w:t>
      </w:r>
    </w:p>
    <w:p>
      <w:pPr>
        <w:spacing w:after="360"/>
      </w:pPr>
      <w:r>
        <w:t xml:space="preserve"/>
      </w:r>
    </w:p>
    <w:tbl>
      <w:tblPr>
        <w:tblW w:type="pct" w:w="76%"/>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4%"/>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for</w:t>
            </w:r>
          </w:p>
        </w:tc>
        <w:tc>
          <w:tcPr>
            <w:tcW w:type="pct" w:w="66%"/>
            <w:tcMar>
              <w:top w:type="dxa" w:w="60"/>
              <w:left w:type="dxa" w:w="110"/>
              <w:bottom w:type="dxa" w:w="60"/>
              <w:right w:type="dxa" w:w="110"/>
            </w:tcMar>
            <w:vAlign w:val="center"/>
          </w:tcPr>
          <w:p>
            <w:r>
              <w:rPr>
                <w:rFonts w:ascii="Roboto" w:cs="Roboto" w:eastAsia="Roboto" w:hAnsi="Roboto"/>
                <w:color w:val="1A1A1A"/>
                <w:sz w:val="20"/>
                <w:szCs w:val="20"/>
              </w:rPr>
              <w:t xml:space="preserve">LoneStar DevOps, LLC</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by</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NEXUS Security Consulting</w:t>
            </w:r>
            <w:r>
              <w:br/>
            </w:r>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Classification</w:t>
            </w:r>
          </w:p>
        </w:tc>
        <w:tc>
          <w:tcPr>
            <w:tcMar>
              <w:top w:type="dxa" w:w="60"/>
              <w:left w:type="dxa" w:w="110"/>
              <w:bottom w:type="dxa" w:w="60"/>
              <w:right w:type="dxa" w:w="110"/>
            </w:tcMar>
            <w:vAlign w:val="center"/>
          </w:tcPr>
          <w:p>
            <w:r>
              <w:rPr>
                <w:rFonts w:ascii="Roboto" w:cs="Roboto" w:eastAsia="Roboto" w:hAnsi="Roboto"/>
                <w:b/>
                <w:bCs/>
                <w:color w:val="C00000"/>
                <w:sz w:val="20"/>
                <w:szCs w:val="20"/>
              </w:rPr>
              <w:t xml:space="preserve">CONFIDENTIAL — Client Use Only</w:t>
            </w:r>
          </w:p>
        </w:tc>
      </w:tr>
    </w:tbl>
    <w:p>
      <w:pPr>
        <w:spacing w:after="200"/>
      </w:pPr>
      <w:r>
        <w:t xml:space="preserve"/>
      </w:r>
    </w:p>
    <w:p>
      <w:pPr>
        <w:spacing w:before="240"/>
        <w:jc w:val="center"/>
      </w:pPr>
      <w:r>
        <w:rPr>
          <w:rFonts w:ascii="Roboto" w:cs="Roboto" w:eastAsia="Roboto" w:hAnsi="Roboto"/>
          <w:color w:val="595959"/>
          <w:sz w:val="16"/>
          <w:szCs w:val="16"/>
        </w:rPr>
        <w:t xml:space="preserve">Prepared by NEXUS Security Consulting</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page is the cover of the client-facing report. Everything from here to the Appendix is what LoneStar receives — it should read as a standalone professional deliverable, independent of Part I.</w:t>
      </w:r>
    </w:p>
    <w:p>
      <w:r>
        <w:br w:type="page"/>
      </w:r>
    </w:p>
    <w:p>
      <w:pPr>
        <w:pBdr>
          <w:bottom w:val="single" w:color="2E75B6" w:sz="12"/>
        </w:pBdr>
        <w:spacing w:after="60" w:before="120"/>
      </w:pPr>
      <w:r>
        <w:rPr>
          <w:rFonts w:ascii="Roboto Slab" w:cs="Roboto Slab" w:eastAsia="Roboto Slab" w:hAnsi="Roboto Slab"/>
          <w:b/>
          <w:bCs/>
          <w:color w:val="2E75B6"/>
          <w:sz w:val="32"/>
          <w:szCs w:val="32"/>
        </w:rPr>
        <w:t xml:space="preserve">The Client Deliverable</w:t>
      </w:r>
    </w:p>
    <w:p>
      <w:pPr>
        <w:spacing w:after="120" w:line="276"/>
      </w:pPr>
      <w:r>
        <w:rPr>
          <w:rFonts w:ascii="Roboto" w:cs="Roboto" w:eastAsia="Roboto" w:hAnsi="Roboto"/>
          <w:color w:val="1A1A1A"/>
          <w:sz w:val="22"/>
          <w:szCs w:val="22"/>
        </w:rPr>
        <w:t xml:space="preserve">Part II is the document you hand the client. It follows professional penetration-test reporting conventions — the client should be able to read the executive summary alone and know what to do. Use this structure; don’t invent your own.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Executive Summary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page maximum, board-readable. What we did, what we found, and what to do about it — in plain language. A non-technical executive should understand the risk and the next step without reading the rest of the report.</w:t>
      </w:r>
    </w:p>
    <w:p>
      <w:pPr>
        <w:spacing w:after="120"/>
      </w:pPr>
      <w:r>
        <w:rPr>
          <w:rFonts w:ascii="Roboto" w:cs="Roboto" w:eastAsia="Roboto" w:hAnsi="Roboto"/>
          <w:i/>
          <w:iCs/>
          <w:color w:val="595959"/>
          <w:sz w:val="22"/>
          <w:szCs w:val="22"/>
        </w:rPr>
        <w:t xml:space="preserve">[Your executive summary here — one page maximum.]</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Methodology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A brief overview of how the engagement was conducted — scope, approach, tools at a high level. The client does not need command-by-command detail; that lives in your runbook (Part I.B).</w:t>
      </w:r>
    </w:p>
    <w:p>
      <w:pPr>
        <w:spacing w:after="120"/>
      </w:pPr>
      <w:r>
        <w:rPr>
          <w:rFonts w:ascii="Roboto" w:cs="Roboto" w:eastAsia="Roboto" w:hAnsi="Roboto"/>
          <w:i/>
          <w:iCs/>
          <w:color w:val="595959"/>
          <w:sz w:val="22"/>
          <w:szCs w:val="22"/>
        </w:rPr>
        <w:t xml:space="preserve">[Your methodology overview here.]</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Findings</w:t>
      </w:r>
    </w:p>
    <w:p>
      <w:pPr>
        <w:spacing w:after="120" w:line="276"/>
      </w:pPr>
      <w:r>
        <w:rPr>
          <w:rFonts w:ascii="Roboto" w:cs="Roboto" w:eastAsia="Roboto" w:hAnsi="Roboto"/>
          <w:color w:val="1A1A1A"/>
          <w:sz w:val="22"/>
          <w:szCs w:val="22"/>
        </w:rPr>
        <w:t xml:space="preserve">Organized by severity, highest first. Each finding has a number, title, severity, affected host/port, description, evidence (screenshot), impact, and recommendation.</w:t>
      </w:r>
    </w:p>
    <w:p>
      <w:pPr>
        <w:pStyle w:val="Heading2"/>
        <w:spacing w:after="120" w:before="240"/>
      </w:pPr>
      <w:r>
        <w:rPr>
          <w:rFonts w:ascii="Roboto Slab" w:cs="Roboto Slab" w:eastAsia="Roboto Slab" w:hAnsi="Roboto Slab"/>
          <w:b/>
          <w:bCs/>
          <w:color w:val="2E75B6"/>
          <w:sz w:val="24"/>
          <w:szCs w:val="24"/>
        </w:rPr>
        <w:t xml:space="preserve">Finding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card per finding, highest severity first. Keep every field. A fully worked example finding is in the Engagement Packet Worked Example (linked from the Lab 1.0 page).</w:t>
      </w:r>
    </w:p>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D9D9" w:sz="4"/>
              <w:left w:val="single" w:color="D68910" w:sz="24"/>
              <w:bottom w:val="single" w:color="D9D9D9" w:sz="4"/>
              <w:right w:val="single" w:color="D9D9D9" w:sz="4"/>
            </w:tcBorders>
            <w:shd w:fill="F5F7FA" w:val="clear"/>
            <w:tcMar>
              <w:top w:type="dxa" w:w="140"/>
              <w:left w:type="dxa" w:w="200"/>
              <w:bottom w:type="dxa" w:w="140"/>
              <w:right w:type="dxa" w:w="200"/>
            </w:tcMar>
          </w:tcPr>
          <w:p>
            <w:pPr>
              <w:spacing w:after="60"/>
            </w:pPr>
            <w:r>
              <w:rPr>
                <w:rFonts w:ascii="Roboto Slab" w:cs="Roboto Slab" w:eastAsia="Roboto Slab" w:hAnsi="Roboto Slab"/>
                <w:b/>
                <w:bCs/>
                <w:color w:val="1F4E79"/>
                <w:sz w:val="22"/>
                <w:szCs w:val="22"/>
              </w:rPr>
              <w:t xml:space="preserve">FINDING 001 — [Title of your highest-severity finding]</w:t>
            </w:r>
          </w:p>
          <w:p>
            <w:pPr>
              <w:spacing w:after="100"/>
            </w:pPr>
            <w:r>
              <w:rPr>
                <w:rFonts w:ascii="Roboto" w:cs="Roboto" w:eastAsia="Roboto" w:hAnsi="Roboto"/>
                <w:b/>
                <w:bCs/>
                <w:color w:val="1A1A1A"/>
                <w:sz w:val="20"/>
                <w:szCs w:val="20"/>
              </w:rPr>
              <w:t xml:space="preserve">Severity: </w:t>
            </w:r>
            <w:r>
              <w:rPr>
                <w:rFonts w:ascii="Roboto" w:cs="Roboto" w:eastAsia="Roboto" w:hAnsi="Roboto"/>
                <w:color w:val="595959"/>
                <w:sz w:val="20"/>
                <w:szCs w:val="20"/>
              </w:rPr>
              <w:t xml:space="preserve">[Critical / High / Medium / Low]</w:t>
            </w:r>
            <w:r>
              <w:rPr>
                <w:rFonts w:ascii="Roboto" w:cs="Roboto" w:eastAsia="Roboto" w:hAnsi="Roboto"/>
                <w:color w:val="595959"/>
                <w:sz w:val="20"/>
                <w:szCs w:val="20"/>
              </w:rPr>
              <w:t xml:space="preserve">    Affected: [host / system / account]</w:t>
            </w:r>
          </w:p>
          <w:p>
            <w:pPr>
              <w:spacing w:after="40"/>
            </w:pPr>
            <w:r>
              <w:rPr>
                <w:rFonts w:ascii="Roboto" w:cs="Roboto" w:eastAsia="Roboto" w:hAnsi="Roboto"/>
                <w:b/>
                <w:bCs/>
                <w:color w:val="2E75B6"/>
                <w:sz w:val="20"/>
                <w:szCs w:val="20"/>
              </w:rPr>
              <w:t xml:space="preserve">Description</w:t>
            </w:r>
          </w:p>
          <w:p>
            <w:pPr>
              <w:spacing w:after="100"/>
            </w:pPr>
            <w:r>
              <w:rPr>
                <w:rFonts w:ascii="Roboto" w:cs="Roboto" w:eastAsia="Roboto" w:hAnsi="Roboto"/>
                <w:color w:val="595959"/>
                <w:sz w:val="21"/>
                <w:szCs w:val="21"/>
              </w:rPr>
              <w:t xml:space="preserve">[What the issue is, in client-readable terms.]</w:t>
            </w:r>
          </w:p>
          <w:p>
            <w:pPr>
              <w:spacing w:after="40"/>
            </w:pPr>
            <w:r>
              <w:rPr>
                <w:rFonts w:ascii="Roboto" w:cs="Roboto" w:eastAsia="Roboto" w:hAnsi="Roboto"/>
                <w:b/>
                <w:bCs/>
                <w:color w:val="2E75B6"/>
                <w:sz w:val="20"/>
                <w:szCs w:val="20"/>
              </w:rPr>
              <w:t xml:space="preserve">Evidence</w:t>
            </w:r>
          </w:p>
          <w:p>
            <w:pPr>
              <w:spacing w:after="100"/>
            </w:pPr>
            <w:r>
              <w:rPr>
                <w:rFonts w:ascii="Roboto" w:cs="Roboto" w:eastAsia="Roboto" w:hAnsi="Roboto"/>
                <w:i/>
                <w:iCs/>
                <w:color w:val="595959"/>
                <w:sz w:val="21"/>
                <w:szCs w:val="21"/>
              </w:rPr>
              <w:t xml:space="preserve">[Reference the screenshot/output that proves it; full output in Appendix.]</w:t>
            </w:r>
          </w:p>
          <w:p>
            <w:pPr>
              <w:spacing w:after="40"/>
            </w:pPr>
            <w:r>
              <w:rPr>
                <w:rFonts w:ascii="Roboto" w:cs="Roboto" w:eastAsia="Roboto" w:hAnsi="Roboto"/>
                <w:b/>
                <w:bCs/>
                <w:color w:val="2E75B6"/>
                <w:sz w:val="20"/>
                <w:szCs w:val="20"/>
              </w:rPr>
              <w:t xml:space="preserve">Impact</w:t>
            </w:r>
          </w:p>
          <w:p>
            <w:pPr>
              <w:spacing w:after="100"/>
            </w:pPr>
            <w:r>
              <w:rPr>
                <w:rFonts w:ascii="Roboto" w:cs="Roboto" w:eastAsia="Roboto" w:hAnsi="Roboto"/>
                <w:color w:val="595959"/>
                <w:sz w:val="21"/>
                <w:szCs w:val="21"/>
              </w:rPr>
              <w:t xml:space="preserve">[What it means for the business if left unaddressed.]</w:t>
            </w:r>
          </w:p>
          <w:p>
            <w:pPr>
              <w:spacing w:after="40"/>
            </w:pPr>
            <w:r>
              <w:rPr>
                <w:rFonts w:ascii="Roboto" w:cs="Roboto" w:eastAsia="Roboto" w:hAnsi="Roboto"/>
                <w:b/>
                <w:bCs/>
                <w:color w:val="2E75B6"/>
                <w:sz w:val="20"/>
                <w:szCs w:val="20"/>
              </w:rPr>
              <w:t xml:space="preserve">Recommendation</w:t>
            </w:r>
          </w:p>
          <w:p>
            <w:r>
              <w:rPr>
                <w:rFonts w:ascii="Roboto" w:cs="Roboto" w:eastAsia="Roboto" w:hAnsi="Roboto"/>
                <w:color w:val="595959"/>
                <w:sz w:val="21"/>
                <w:szCs w:val="21"/>
              </w:rPr>
              <w:t xml:space="preserve">[The specific fix, and any longer-term measure.]</w:t>
            </w:r>
          </w:p>
        </w:tc>
      </w:tr>
    </w:tbl>
    <w:p>
      <w:pPr>
        <w:spacing w:after="120"/>
      </w:pPr>
      <w:r>
        <w:t xml:space="preserve"/>
      </w:r>
    </w:p>
    <w:p>
      <w:pPr>
        <w:spacing w:after="120"/>
      </w:pPr>
      <w:r>
        <w:rPr>
          <w:rFonts w:ascii="Roboto" w:cs="Roboto" w:eastAsia="Roboto" w:hAnsi="Roboto"/>
          <w:i/>
          <w:iCs/>
          <w:color w:val="595959"/>
          <w:sz w:val="22"/>
          <w:szCs w:val="22"/>
        </w:rPr>
        <w:t xml:space="preserve">[Add your remaining findings here, highest severity first.]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Risk Analysis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Likelihood × impact for each finding. A simple table mapping each finding number to a likelihood, an impact, and a resulting risk rating is enough — keep it consistent with your severity labels in Findings.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Finding</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Likelihood</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Impact</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Risk Rating</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Priority</w:t>
            </w:r>
          </w:p>
        </w:tc>
      </w:tr>
      <w:tr>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001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FFFFF" w:val="clea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Recommendations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Prioritized — what to do Monday vs. what to plan for the next budget cycle. Tie each recommendation back to a finding number so the client can trace it.</w:t>
      </w:r>
    </w:p>
    <w:p>
      <w:pPr>
        <w:pStyle w:val="ListParagraph"/>
        <w:numPr>
          <w:ilvl w:val="0"/>
          <w:numId w:val="2"/>
        </w:numPr>
        <w:spacing w:after="80"/>
      </w:pPr>
      <w:r>
        <w:rPr>
          <w:rFonts w:ascii="Roboto" w:cs="Roboto" w:eastAsia="Roboto" w:hAnsi="Roboto"/>
          <w:b/>
          <w:bCs/>
          <w:color w:val="1A1A1A"/>
          <w:sz w:val="22"/>
          <w:szCs w:val="22"/>
        </w:rPr>
        <w:t xml:space="preserve">This week: </w:t>
      </w:r>
      <w:r>
        <w:rPr>
          <w:rFonts w:ascii="Roboto" w:cs="Roboto" w:eastAsia="Roboto" w:hAnsi="Roboto"/>
          <w:i/>
          <w:iCs/>
          <w:color w:val="595959"/>
          <w:sz w:val="22"/>
          <w:szCs w:val="22"/>
        </w:rPr>
        <w:t xml:space="preserve">[Highest-priority fix, tied to your top finding.]</w:t>
      </w:r>
    </w:p>
    <w:p>
      <w:pPr>
        <w:pStyle w:val="ListParagraph"/>
        <w:numPr>
          <w:ilvl w:val="0"/>
          <w:numId w:val="2"/>
        </w:numPr>
        <w:spacing w:after="80"/>
      </w:pPr>
      <w:r>
        <w:rPr>
          <w:rFonts w:ascii="Roboto" w:cs="Roboto" w:eastAsia="Roboto" w:hAnsi="Roboto"/>
          <w:b/>
          <w:bCs/>
          <w:color w:val="1A1A1A"/>
          <w:sz w:val="22"/>
          <w:szCs w:val="22"/>
        </w:rPr>
        <w:t xml:space="preserve">This quarter: </w:t>
      </w:r>
      <w:r>
        <w:rPr>
          <w:rFonts w:ascii="Roboto" w:cs="Roboto" w:eastAsia="Roboto" w:hAnsi="Roboto"/>
          <w:i/>
          <w:iCs/>
          <w:color w:val="595959"/>
          <w:sz w:val="22"/>
          <w:szCs w:val="22"/>
        </w:rPr>
        <w:t xml:space="preserve">[Medium-term measure.]</w:t>
      </w:r>
    </w:p>
    <w:p>
      <w:pPr>
        <w:pStyle w:val="ListParagraph"/>
        <w:numPr>
          <w:ilvl w:val="0"/>
          <w:numId w:val="2"/>
        </w:numPr>
        <w:spacing w:after="80"/>
      </w:pPr>
      <w:r>
        <w:rPr>
          <w:rFonts w:ascii="Roboto" w:cs="Roboto" w:eastAsia="Roboto" w:hAnsi="Roboto"/>
          <w:i/>
          <w:iCs/>
          <w:color w:val="595959"/>
          <w:sz w:val="22"/>
          <w:szCs w:val="22"/>
        </w:rPr>
        <w:t xml:space="preserve">[Add your prioritized recommendations here, each tied to a finding number.]</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Appendix</w:t>
      </w:r>
    </w:p>
    <w:p>
      <w:pPr>
        <w:spacing w:after="120" w:line="276"/>
      </w:pPr>
      <w:r>
        <w:rPr>
          <w:rFonts w:ascii="Roboto" w:cs="Roboto" w:eastAsia="Roboto" w:hAnsi="Roboto"/>
          <w:color w:val="1A1A1A"/>
          <w:sz w:val="22"/>
          <w:szCs w:val="22"/>
        </w:rPr>
        <w:t xml:space="preserve">Supporting evidence that would disrupt the flow of the main report: raw (scrubbed) tool output, additional screenshots, and your references.</w:t>
      </w:r>
    </w:p>
    <w:p>
      <w:pPr>
        <w:pStyle w:val="Heading2"/>
        <w:spacing w:after="120" w:before="240"/>
      </w:pPr>
      <w:r>
        <w:rPr>
          <w:rFonts w:ascii="Roboto Slab" w:cs="Roboto Slab" w:eastAsia="Roboto Slab" w:hAnsi="Roboto Slab"/>
          <w:b/>
          <w:bCs/>
          <w:color w:val="2E75B6"/>
          <w:sz w:val="24"/>
          <w:szCs w:val="24"/>
        </w:rPr>
        <w:t xml:space="preserve">A. Raw Tool Output</w:t>
      </w:r>
    </w:p>
    <w:p>
      <w:pPr>
        <w:spacing w:after="120"/>
      </w:pPr>
      <w:r>
        <w:rPr>
          <w:rFonts w:ascii="Roboto" w:cs="Roboto" w:eastAsia="Roboto" w:hAnsi="Roboto"/>
          <w:i/>
          <w:iCs/>
          <w:color w:val="595959"/>
          <w:sz w:val="22"/>
          <w:szCs w:val="22"/>
        </w:rPr>
        <w:t xml:space="preserve">[Paste complete, scrubbed scan output here — the long results you summarized in Findings.]</w:t>
      </w:r>
    </w:p>
    <w:p>
      <w:pPr>
        <w:pStyle w:val="Heading2"/>
        <w:spacing w:after="120" w:before="240"/>
      </w:pPr>
      <w:r>
        <w:rPr>
          <w:rFonts w:ascii="Roboto Slab" w:cs="Roboto Slab" w:eastAsia="Roboto Slab" w:hAnsi="Roboto Slab"/>
          <w:b/>
          <w:bCs/>
          <w:color w:val="2E75B6"/>
          <w:sz w:val="24"/>
          <w:szCs w:val="24"/>
        </w:rPr>
        <w:t xml:space="preserve">B. Additional Screenshots</w:t>
      </w:r>
    </w:p>
    <w:p>
      <w:pPr>
        <w:spacing w:after="120"/>
      </w:pPr>
      <w:r>
        <w:rPr>
          <w:rFonts w:ascii="Roboto" w:cs="Roboto" w:eastAsia="Roboto" w:hAnsi="Roboto"/>
          <w:i/>
          <w:iCs/>
          <w:color w:val="595959"/>
          <w:sz w:val="22"/>
          <w:szCs w:val="22"/>
        </w:rPr>
        <w:t xml:space="preserve">[Screenshots that add context but weren’t essential to the main narrative. kali-abc123 visible in each.]</w:t>
      </w:r>
    </w:p>
    <w:p>
      <w:pPr>
        <w:pStyle w:val="Heading2"/>
        <w:spacing w:after="120" w:before="240"/>
      </w:pPr>
      <w:r>
        <w:rPr>
          <w:rFonts w:ascii="Roboto Slab" w:cs="Roboto Slab" w:eastAsia="Roboto Slab" w:hAnsi="Roboto Slab"/>
          <w:b/>
          <w:bCs/>
          <w:color w:val="2E75B6"/>
          <w:sz w:val="24"/>
          <w:szCs w:val="24"/>
        </w:rPr>
        <w:t xml:space="preserve">C. References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Minimum 10 references, properly formatted. CVE entries, vendor advisories, NIST publications, and tool documentation all count. Format consistently (APA is fine).</w:t>
      </w:r>
    </w:p>
    <w:p>
      <w:pPr>
        <w:pStyle w:val="ListParagraph"/>
        <w:numPr>
          <w:ilvl w:val="0"/>
          <w:numId w:val="3"/>
        </w:numPr>
        <w:spacing w:after="80"/>
      </w:pPr>
      <w:r>
        <w:rPr>
          <w:rFonts w:ascii="Roboto" w:cs="Roboto" w:eastAsia="Roboto" w:hAnsi="Roboto"/>
          <w:color w:val="1A1A1A"/>
          <w:sz w:val="22"/>
          <w:szCs w:val="22"/>
        </w:rPr>
        <w:t xml:space="preserve">[Reference 1]</w:t>
      </w:r>
    </w:p>
    <w:p>
      <w:pPr>
        <w:pStyle w:val="ListParagraph"/>
        <w:numPr>
          <w:ilvl w:val="0"/>
          <w:numId w:val="3"/>
        </w:numPr>
        <w:spacing w:after="80"/>
      </w:pPr>
      <w:r>
        <w:rPr>
          <w:rFonts w:ascii="Roboto" w:cs="Roboto" w:eastAsia="Roboto" w:hAnsi="Roboto"/>
          <w:color w:val="1A1A1A"/>
          <w:sz w:val="22"/>
          <w:szCs w:val="22"/>
        </w:rPr>
        <w:t xml:space="preserve">[Reference 2]</w:t>
      </w:r>
    </w:p>
    <w:p>
      <w:pPr>
        <w:pStyle w:val="ListParagraph"/>
        <w:numPr>
          <w:ilvl w:val="0"/>
          <w:numId w:val="3"/>
        </w:numPr>
        <w:spacing w:after="80"/>
      </w:pPr>
      <w:r>
        <w:rPr>
          <w:rFonts w:ascii="Roboto" w:cs="Roboto" w:eastAsia="Roboto" w:hAnsi="Roboto"/>
          <w:color w:val="1A1A1A"/>
          <w:sz w:val="22"/>
          <w:szCs w:val="22"/>
        </w:rPr>
        <w:t xml:space="preserve">[Reference 3]</w:t>
      </w:r>
    </w:p>
    <w:p>
      <w:pPr>
        <w:pStyle w:val="ListParagraph"/>
        <w:numPr>
          <w:ilvl w:val="0"/>
          <w:numId w:val="3"/>
        </w:numPr>
        <w:spacing w:after="80"/>
      </w:pPr>
      <w:r>
        <w:rPr>
          <w:rFonts w:ascii="Roboto" w:cs="Roboto" w:eastAsia="Roboto" w:hAnsi="Roboto"/>
          <w:color w:val="1A1A1A"/>
          <w:sz w:val="22"/>
          <w:szCs w:val="22"/>
        </w:rPr>
        <w:t xml:space="preserve">[Reference 4]</w:t>
      </w:r>
    </w:p>
    <w:p>
      <w:pPr>
        <w:pStyle w:val="ListParagraph"/>
        <w:numPr>
          <w:ilvl w:val="0"/>
          <w:numId w:val="3"/>
        </w:numPr>
        <w:spacing w:after="80"/>
      </w:pPr>
      <w:r>
        <w:rPr>
          <w:rFonts w:ascii="Roboto" w:cs="Roboto" w:eastAsia="Roboto" w:hAnsi="Roboto"/>
          <w:color w:val="1A1A1A"/>
          <w:sz w:val="22"/>
          <w:szCs w:val="22"/>
        </w:rPr>
        <w:t xml:space="preserve">[Reference 5]</w:t>
      </w:r>
    </w:p>
    <w:p>
      <w:pPr>
        <w:pStyle w:val="ListParagraph"/>
        <w:numPr>
          <w:ilvl w:val="0"/>
          <w:numId w:val="3"/>
        </w:numPr>
        <w:spacing w:after="80"/>
      </w:pPr>
      <w:r>
        <w:rPr>
          <w:rFonts w:ascii="Roboto" w:cs="Roboto" w:eastAsia="Roboto" w:hAnsi="Roboto"/>
          <w:color w:val="1A1A1A"/>
          <w:sz w:val="22"/>
          <w:szCs w:val="22"/>
        </w:rPr>
        <w:t xml:space="preserve">[Reference 6]</w:t>
      </w:r>
    </w:p>
    <w:p>
      <w:pPr>
        <w:pStyle w:val="ListParagraph"/>
        <w:numPr>
          <w:ilvl w:val="0"/>
          <w:numId w:val="3"/>
        </w:numPr>
        <w:spacing w:after="80"/>
      </w:pPr>
      <w:r>
        <w:rPr>
          <w:rFonts w:ascii="Roboto" w:cs="Roboto" w:eastAsia="Roboto" w:hAnsi="Roboto"/>
          <w:color w:val="1A1A1A"/>
          <w:sz w:val="22"/>
          <w:szCs w:val="22"/>
        </w:rPr>
        <w:t xml:space="preserve">[Reference 7]</w:t>
      </w:r>
    </w:p>
    <w:p>
      <w:pPr>
        <w:pStyle w:val="ListParagraph"/>
        <w:numPr>
          <w:ilvl w:val="0"/>
          <w:numId w:val="3"/>
        </w:numPr>
        <w:spacing w:after="80"/>
      </w:pPr>
      <w:r>
        <w:rPr>
          <w:rFonts w:ascii="Roboto" w:cs="Roboto" w:eastAsia="Roboto" w:hAnsi="Roboto"/>
          <w:color w:val="1A1A1A"/>
          <w:sz w:val="22"/>
          <w:szCs w:val="22"/>
        </w:rPr>
        <w:t xml:space="preserve">[Reference 8]</w:t>
      </w:r>
    </w:p>
    <w:p>
      <w:pPr>
        <w:pStyle w:val="ListParagraph"/>
        <w:numPr>
          <w:ilvl w:val="0"/>
          <w:numId w:val="3"/>
        </w:numPr>
        <w:spacing w:after="80"/>
      </w:pPr>
      <w:r>
        <w:rPr>
          <w:rFonts w:ascii="Roboto" w:cs="Roboto" w:eastAsia="Roboto" w:hAnsi="Roboto"/>
          <w:color w:val="1A1A1A"/>
          <w:sz w:val="22"/>
          <w:szCs w:val="22"/>
        </w:rPr>
        <w:t xml:space="preserve">[Reference 9]</w:t>
      </w:r>
    </w:p>
    <w:p>
      <w:pPr>
        <w:pStyle w:val="ListParagraph"/>
        <w:numPr>
          <w:ilvl w:val="0"/>
          <w:numId w:val="3"/>
        </w:numPr>
        <w:spacing w:after="80"/>
      </w:pPr>
      <w:r>
        <w:rPr>
          <w:rFonts w:ascii="Roboto" w:cs="Roboto" w:eastAsia="Roboto" w:hAnsi="Roboto"/>
          <w:color w:val="1A1A1A"/>
          <w:sz w:val="22"/>
          <w:szCs w:val="22"/>
        </w:rPr>
        <w:t xml:space="preserve">[Reference 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Roboto" w:cs="Roboto" w:eastAsia="Roboto" w:hAnsi="Roboto"/>
        <w:color w:val="595959"/>
        <w:sz w:val="15"/>
        <w:szCs w:val="15"/>
      </w:rPr>
      <w:t xml:space="preserve">Engagement Packet</w:t>
    </w:r>
    <w:r>
      <w:rPr>
        <w:rFonts w:ascii="Roboto" w:cs="Roboto" w:eastAsia="Roboto" w:hAnsi="Roboto"/>
      </w:rPr>
      <w:t xml:space="preserve">	</w:t>
    </w:r>
    <w:r>
      <w:rPr>
        <w:rFonts w:ascii="Roboto" w:cs="Roboto" w:eastAsia="Roboto" w:hAnsi="Roboto"/>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pPr>
    <w:r>
      <w:rPr>
        <w:rFonts w:ascii="Roboto" w:cs="Roboto" w:eastAsia="Roboto" w:hAnsi="Roboto"/>
        <w:color w:val="595959"/>
        <w:sz w:val="15"/>
        <w:szCs w:val="15"/>
      </w:rPr>
      <w:t xml:space="preserve">NEXUS SECURITY — CONFIDENTIAL</w:t>
    </w:r>
    <w:r>
      <w:rPr>
        <w:rFonts w:ascii="Roboto" w:cs="Roboto" w:eastAsia="Roboto" w:hAnsi="Roboto"/>
      </w:rPr>
      <w:t xml:space="preserve">	</w:t>
    </w:r>
    <w:r>
      <w:rPr>
        <w:rFonts w:ascii="Roboto" w:cs="Roboto" w:eastAsia="Roboto" w:hAnsi="Roboto"/>
        <w:color w:val="595959"/>
        <w:sz w:val="15"/>
        <w:szCs w:val="15"/>
      </w:rPr>
      <w:t xml:space="preserve">LoneStar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Slab" w:cs="Roboto Slab" w:eastAsia="Roboto Slab" w:hAnsi="Roboto Slab"/>
      <w:b/>
      <w:bCs/>
      <w:color w:val="1F4E79"/>
      <w:sz w:val="30"/>
      <w:szCs w:val="30"/>
    </w:rPr>
  </w:style>
  <w:style w:type="paragraph" w:styleId="Heading2">
    <w:name w:val="Heading 2"/>
    <w:basedOn w:val="Normal"/>
    <w:next w:val="Normal"/>
    <w:qFormat/>
    <w:pPr>
      <w:spacing w:after="120" w:before="240"/>
      <w:outlineLvl w:val="1"/>
    </w:pPr>
    <w:rPr>
      <w:rFonts w:ascii="Roboto Slab" w:cs="Roboto Slab" w:eastAsia="Roboto Slab" w:hAnsi="Roboto Slab"/>
      <w:b/>
      <w:bCs/>
      <w:color w:val="2E75B6"/>
      <w:sz w:val="24"/>
      <w:szCs w:val="24"/>
    </w:rPr>
  </w:style>
  <w:style w:type="paragraph" w:styleId="Caption">
    <w:name w:val="caption"/>
    <w:basedOn w:val="Normal"/>
    <w:next w:val="Normal"/>
    <w:uiPriority w:val="35"/>
    <w:qFormat/>
    <w:pPr>
      <w:spacing w:before="120" w:after="200"/>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6792b11216b81b8cf7c76ce1687d6cc4584213.undefined"/><Relationship Id="rId10" Type="http://schemas.openxmlformats.org/officeDocument/2006/relationships/image" Target="media/d7d67a46fd31d53cd623bbab4d47d75aa448f15c.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5 — Risk &amp; Vulnerability Assessment</dc:description>
  <cp:lastModifiedBy>Un-named</cp:lastModifiedBy>
  <cp:revision>1</cp:revision>
  <dcterms:created xsi:type="dcterms:W3CDTF">2026-05-29T17:00:56.653Z</dcterms:created>
  <dcterms:modified xsi:type="dcterms:W3CDTF">2026-05-29T17:00:56.653Z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