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t xml:space="preserve"/>
      </w:r>
    </w:p>
    <w:p>
      <w:pPr>
        <w:jc w:val="center"/>
      </w:pPr>
      <w:r>
        <w:drawing>
          <wp:inline distT="0" distB="0" distL="0" distR="0">
            <wp:extent cx="125730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57300" cy="1428750"/>
                    </a:xfrm>
                    <a:prstGeom prst="rect">
                      <a:avLst/>
                    </a:prstGeom>
                  </pic:spPr>
                </pic:pic>
              </a:graphicData>
            </a:graphic>
          </wp:inline>
        </w:drawing>
      </w:r>
    </w:p>
    <w:p>
      <w:pPr>
        <w:spacing w:after="80"/>
      </w:pPr>
      <w:r>
        <w:t xml:space="preserve"/>
      </w:r>
    </w:p>
    <w:p>
      <w:pPr>
        <w:spacing w:after="40"/>
        <w:jc w:val="center"/>
      </w:pPr>
      <w:r>
        <w:rPr>
          <w:rFonts w:ascii="Roboto Slab" w:cs="Roboto Slab" w:eastAsia="Roboto Slab" w:hAnsi="Roboto Slab"/>
          <w:b/>
          <w:bCs/>
          <w:color w:val="1F4E79"/>
          <w:sz w:val="30"/>
          <w:szCs w:val="30"/>
        </w:rPr>
        <w:t xml:space="preserve">NEXUS SECURITY CONSULTING</w:t>
      </w:r>
    </w:p>
    <w:p>
      <w:pPr>
        <w:spacing w:after="320"/>
        <w:jc w:val="center"/>
      </w:pPr>
      <w:r>
        <w:rPr>
          <w:sz w:val="4"/>
          <w:szCs w:val="4"/>
        </w:rPr>
        <w:t xml:space="preserve"/>
      </w:r>
    </w:p>
    <w:tbl>
      <w:tblPr>
        <w:tblW w:type="pct" w:w="60%"/>
        <w:jc w:val="center"/>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C00000" w:val="clear"/>
            <w:tcMar>
              <w:top w:type="dxa" w:w="60"/>
              <w:bottom w:type="dxa" w:w="60"/>
            </w:tcMar>
          </w:tcPr>
          <w:p>
            <w:pPr>
              <w:jc w:val="center"/>
            </w:pPr>
            <w:r>
              <w:rPr>
                <w:rFonts w:ascii="Roboto" w:cs="Roboto" w:eastAsia="Roboto" w:hAnsi="Roboto"/>
                <w:b/>
                <w:bCs/>
                <w:color w:val="FFFFFF"/>
                <w:sz w:val="22"/>
                <w:szCs w:val="22"/>
              </w:rPr>
              <w:t xml:space="preserve">CONFIDENTIAL</w:t>
            </w:r>
          </w:p>
        </w:tc>
      </w:tr>
    </w:tbl>
    <w:p>
      <w:pPr>
        <w:spacing w:after="520"/>
      </w:pPr>
      <w:r>
        <w:t xml:space="preserve"/>
      </w:r>
    </w:p>
    <w:p>
      <w:pPr>
        <w:spacing w:after="80"/>
        <w:jc w:val="center"/>
      </w:pPr>
      <w:r>
        <w:rPr>
          <w:rFonts w:ascii="Roboto Slab" w:cs="Roboto Slab" w:eastAsia="Roboto Slab" w:hAnsi="Roboto Slab"/>
          <w:b/>
          <w:bCs/>
          <w:color w:val="1F4E79"/>
          <w:sz w:val="44"/>
          <w:szCs w:val="44"/>
        </w:rPr>
        <w:t xml:space="preserve">ENGAGEMENT PACKET</w:t>
      </w:r>
    </w:p>
    <w:p>
      <w:pPr>
        <w:spacing w:after="40"/>
        <w:jc w:val="center"/>
      </w:pPr>
      <w:fldSimple w:instr="DOCPROPERTY Title \* MERGEFORMAT"/>
    </w:p>
    <w:p>
      <w:pPr>
        <w:spacing w:after="360"/>
        <w:jc w:val="center"/>
      </w:pPr>
      <w:r>
        <w:rPr>
          <w:rFonts w:ascii="Roboto" w:cs="Roboto" w:eastAsia="Roboto" w:hAnsi="Roboto"/>
          <w:color w:val="595959"/>
          <w:sz w:val="24"/>
          <w:szCs w:val="24"/>
        </w:rPr>
        <w:t xml:space="preserve">Module 4 — Password Security Assessment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454F5E" w:val="clear"/>
            <w:tcMar>
              <w:top w:type="dxa" w:w="30"/>
              <w:bottom w:type="dxa" w:w="30"/>
            </w:tcMar>
          </w:tcPr>
          <w:p>
            <w:r>
              <w:rPr>
                <w:sz w:val="8"/>
                <w:szCs w:val="8"/>
              </w:rPr>
              <w:t xml:space="preserve"/>
            </w:r>
          </w:p>
        </w:tc>
      </w:tr>
    </w:tbl>
    <w:p>
      <w:pPr>
        <w:spacing w:after="200"/>
      </w:pPr>
      <w:r>
        <w:t xml:space="preserve"/>
      </w:r>
    </w:p>
    <w:p>
      <w:pPr>
        <w:jc w:val="center"/>
      </w:pPr>
      <w:r>
        <w:drawing>
          <wp:inline distT="0" distB="0" distL="0" distR="0">
            <wp:extent cx="1400175"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400175" cy="971550"/>
                    </a:xfrm>
                    <a:prstGeom prst="rect">
                      <a:avLst/>
                    </a:prstGeom>
                  </pic:spPr>
                </pic:pic>
              </a:graphicData>
            </a:graphic>
          </wp:inline>
        </w:drawing>
      </w:r>
    </w:p>
    <w:p>
      <w:pPr>
        <w:spacing w:after="360" w:before="60"/>
        <w:jc w:val="center"/>
      </w:pPr>
      <w:r>
        <w:rPr>
          <w:rFonts w:ascii="Roboto" w:cs="Roboto" w:eastAsia="Roboto" w:hAnsi="Roboto"/>
          <w:i/>
          <w:iCs/>
          <w:color w:val="595959"/>
          <w:sz w:val="22"/>
          <w:szCs w:val="22"/>
        </w:rPr>
        <w:t xml:space="preserve">Prepared for Brazos Financial Group &amp; Alamo Industries</w:t>
      </w:r>
    </w:p>
    <w:p>
      <w:pPr>
        <w:spacing w:after="360"/>
      </w:pPr>
      <w:r>
        <w:t xml:space="preserve"/>
      </w:r>
    </w:p>
    <w:tbl>
      <w:tblPr>
        <w:tblW w:type="pct" w:w="70%"/>
        <w:jc w:val="center"/>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tblGrid>
      <w:tr>
        <w:tc>
          <w:tcPr>
            <w:tcW w:type="pct" w:w="35%"/>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Analyst / Student</w:t>
            </w:r>
          </w:p>
        </w:tc>
        <w:tc>
          <w:tcPr>
            <w:tcW w:type="pct" w:w="65%"/>
            <w:tcMar>
              <w:top w:type="dxa" w:w="60"/>
              <w:left w:type="dxa" w:w="110"/>
              <w:bottom w:type="dxa" w:w="60"/>
              <w:right w:type="dxa" w:w="110"/>
            </w:tcMar>
            <w:vAlign w:val="center"/>
          </w:tcPr>
          <w:p>
            <w:fldSimple w:instr="DOCPROPERTY Author \* MERGEFORMA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Client</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Brazos Financial Group / Alamo Industries</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abc123 (VM ID)</w:t>
            </w:r>
          </w:p>
        </w:tc>
        <w:tc>
          <w:tcPr>
            <w:tcMar>
              <w:top w:type="dxa" w:w="60"/>
              <w:left w:type="dxa" w:w="110"/>
              <w:bottom w:type="dxa" w:w="60"/>
              <w:right w:type="dxa" w:w="110"/>
            </w:tcMar>
            <w:vAlign w:val="center"/>
          </w:tcPr>
          <w:p>
            <w:fldSimple w:instr="DOCPROPERTY abc123 \* MERGEFORMA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Date</w:t>
            </w:r>
          </w:p>
        </w:tc>
        <w:tc>
          <w:tcPr>
            <w:tcMar>
              <w:top w:type="dxa" w:w="60"/>
              <w:left w:type="dxa" w:w="110"/>
              <w:bottom w:type="dxa" w:w="60"/>
              <w:right w:type="dxa" w:w="110"/>
            </w:tcMar>
            <w:vAlign w:val="center"/>
          </w:tcPr>
          <w:p>
            <w:fldSimple w:instr="DATE \@ &quot;MMMM d, yyyy&quot;"/>
          </w:p>
        </w:tc>
      </w:tr>
    </w:tbl>
    <w:p>
      <w:pPr>
        <w:spacing w:after="120"/>
      </w:pPr>
      <w:r>
        <w:t xml:space="preserve"/>
      </w:r>
    </w:p>
    <w:p>
      <w:pPr>
        <w:pBdr>
          <w:left w:val="single" w:color="2E75B6" w:sz="18"/>
        </w:pBdr>
        <w:shd w:fill="F5F7FA" w:val="clear"/>
        <w:spacing w:after="120" w:line="276"/>
        <w:ind w:left="180"/>
      </w:pPr>
      <w:r>
        <w:rPr>
          <w:rFonts w:ascii="Roboto" w:cs="Roboto" w:eastAsia="Roboto" w:hAnsi="Roboto"/>
          <w:i/>
          <w:iCs/>
          <w:color w:val="595959"/>
          <w:sz w:val="20"/>
          <w:szCs w:val="20"/>
        </w:rPr>
        <w:t xml:space="preserve">Set two things once via File → Info: your name (Author) and the abc123 custom property. Your abc123 must match the kali-abc123 hostname visible in your screenshots — it’s the key we use to tie this packet to your VM. Then select all (Ctrl+A) and press F9 to refresh every field in the document.</w:t>
      </w:r>
    </w:p>
    <w:p>
      <w:pPr>
        <w:sectPr>
          <w:pgSz w:w="12240" w:h="15840" w:orient="portrait"/>
          <w:pgMar w:top="1440" w:right="1440" w:bottom="1440" w:left="1440" w:header="708" w:footer="708" w:gutter="0"/>
          <w:pgNumType/>
          <w:docGrid w:linePitch="360"/>
        </w:sectPr>
      </w:pPr>
    </w:p>
    <w:p>
      <w:pPr>
        <w:spacing w:after="200"/>
      </w:pPr>
      <w:r>
        <w:rPr>
          <w:rFonts w:ascii="Roboto Slab" w:cs="Roboto Slab" w:eastAsia="Roboto Slab" w:hAnsi="Roboto Slab"/>
          <w:b/>
          <w:bCs/>
          <w:color w:val="1F4E79"/>
          <w:sz w:val="32"/>
          <w:szCs w:val="32"/>
        </w:rP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pPr>
        <w:pBdr>
          <w:left w:val="single" w:color="2E75B6" w:sz="18"/>
        </w:pBdr>
        <w:shd w:fill="F5F7FA" w:val="clear"/>
        <w:spacing w:after="120" w:line="276"/>
        <w:ind w:left="180"/>
      </w:pPr>
      <w:r>
        <w:rPr>
          <w:rFonts w:ascii="Roboto" w:cs="Roboto" w:eastAsia="Roboto" w:hAnsi="Roboto"/>
          <w:i/>
          <w:iCs/>
          <w:color w:val="595959"/>
          <w:sz w:val="20"/>
          <w:szCs w:val="20"/>
        </w:rPr>
        <w:t xml:space="preserve">This table of contents is auto-generated. After completing the packet, right-click it and choose “Update Field → Update entire table,” or press Ctrl+A then F9.</w:t>
      </w:r>
    </w:p>
    <w:p>
      <w:pPr>
        <w:sectPr>
          <w:type w:val="nextPage"/>
          <w:pgSz w:w="12240" w:h="15840" w:orient="portrait"/>
          <w:pgMar w:top="1440" w:right="1440" w:bottom="1440" w:left="1440" w:header="708" w:footer="708" w:gutter="0"/>
          <w:pgNumType/>
          <w:docGrid w:linePitch="360"/>
        </w:sectPr>
      </w:pPr>
    </w:p>
    <w:p>
      <w:pPr>
        <w:spacing w:after="80" w:before="200"/>
      </w:pPr>
      <w:r>
        <w:rPr>
          <w:rFonts w:ascii="Roboto Slab" w:cs="Roboto Slab" w:eastAsia="Roboto Slab" w:hAnsi="Roboto Slab"/>
          <w:b/>
          <w:bCs/>
          <w:color w:val="1F4E79"/>
          <w:sz w:val="48"/>
          <w:szCs w:val="48"/>
        </w:rPr>
        <w:t xml:space="preserve">PART I</w:t>
      </w:r>
    </w:p>
    <w:p>
      <w:pPr>
        <w:pBdr>
          <w:bottom w:val="single" w:color="1F4E79" w:sz="12"/>
        </w:pBdr>
        <w:spacing w:after="60"/>
      </w:pPr>
      <w:r>
        <w:rPr>
          <w:rFonts w:ascii="Roboto Slab" w:cs="Roboto Slab" w:eastAsia="Roboto Slab" w:hAnsi="Roboto Slab"/>
          <w:b/>
          <w:bCs/>
          <w:color w:val="1F4E79"/>
          <w:sz w:val="32"/>
          <w:szCs w:val="32"/>
        </w:rPr>
        <w:t xml:space="preserve">The Internal Packet</w:t>
      </w:r>
    </w:p>
    <w:p>
      <w:pPr>
        <w:spacing w:after="120" w:line="276"/>
      </w:pPr>
      <w:r>
        <w:rPr>
          <w:rFonts w:ascii="Roboto" w:cs="Roboto" w:eastAsia="Roboto" w:hAnsi="Roboto"/>
          <w:color w:val="1A1A1A"/>
          <w:sz w:val="22"/>
          <w:szCs w:val="22"/>
        </w:rPr>
        <w:t xml:space="preserve">Part I is what NEXUS keeps in the engagement file. It is internal — the client never sees it. Three components: your timesheet, your runbook, and your analyst reflection.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single" w:color="2E75B6" w:sz="24"/>
              <w:bottom w:val="none" w:color="FFFFFF" w:sz="0"/>
              <w:right w:val="none" w:color="FFFFFF" w:sz="0"/>
            </w:tcBorders>
            <w:shd w:fill="F5F7FA" w:val="clear"/>
            <w:tcMar>
              <w:top w:type="dxa" w:w="120"/>
              <w:left w:type="dxa" w:w="200"/>
              <w:bottom w:type="dxa" w:w="120"/>
              <w:right w:type="dxa" w:w="200"/>
            </w:tcMar>
          </w:tcPr>
          <w:p>
            <w:pPr>
              <w:spacing w:after="40"/>
            </w:pPr>
            <w:r>
              <w:rPr>
                <w:rFonts w:ascii="Roboto" w:cs="Roboto" w:eastAsia="Roboto" w:hAnsi="Roboto"/>
                <w:b/>
                <w:bCs/>
                <w:color w:val="2E75B6"/>
                <w:sz w:val="20"/>
                <w:szCs w:val="20"/>
              </w:rPr>
              <w:t xml:space="preserve">Audience</w:t>
            </w:r>
          </w:p>
          <w:p>
            <w:r>
              <w:rPr>
                <w:rFonts w:ascii="Roboto" w:cs="Roboto" w:eastAsia="Roboto" w:hAnsi="Roboto"/>
                <w:color w:val="1A1A1A"/>
                <w:sz w:val="21"/>
                <w:szCs w:val="21"/>
              </w:rPr>
              <w:t xml:space="preserve">NEXUS leadership and the next analyst. Write for colleagues, not the client.</w:t>
            </w:r>
          </w:p>
        </w:tc>
      </w:tr>
    </w:tbl>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A. NEXUS Timesheet</w:t>
      </w:r>
    </w:p>
    <w:p>
      <w:pPr>
        <w:spacing w:after="120" w:line="276"/>
      </w:pPr>
      <w:r>
        <w:rPr>
          <w:rFonts w:ascii="Roboto" w:cs="Roboto" w:eastAsia="Roboto" w:hAnsi="Roboto"/>
          <w:color w:val="1A1A1A"/>
          <w:sz w:val="22"/>
          <w:szCs w:val="22"/>
        </w:rPr>
        <w:t xml:space="preserve">Audience: NEXUS leadership / billing. Where did your hours go? Break hours out by unit, split between internal training (Units 1–2, non-billable) and client billable (Unit 3 fieldwork). Justify any unusually high or low hour count with a one-line note.</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If you logged hours honestly as you went, this is a 10-minute fill-in. If you reconstruct it the night before, it will show — your scan dates, screenshot timestamps, and command history won’t line up with your claimed hours. Replace the demo rows below with your own. Total the columns yourself.</w:t>
      </w:r>
    </w:p>
    <w:p>
      <w:pPr>
        <w:spacing w:after="80"/>
      </w:pPr>
      <w:r>
        <w:t xml:space="preserve"/>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gridCol w:w="100"/>
        <w:gridCol w:w="100"/>
      </w:tblGrid>
      <w:tr>
        <w:trPr>
          <w:tblHeader/>
        </w:trPr>
        <w:tc>
          <w:tcPr>
            <w:tcW w:type="pct" w:w="18%"/>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Week / Unit</w:t>
            </w:r>
          </w:p>
        </w:tc>
        <w:tc>
          <w:tcPr>
            <w:tcW w:type="pct" w:w="5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Task</w:t>
            </w:r>
          </w:p>
        </w:tc>
        <w:tc>
          <w:tcPr>
            <w:tcW w:type="pct" w:w="18%"/>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Type</w:t>
            </w:r>
          </w:p>
        </w:tc>
        <w:tc>
          <w:tcPr>
            <w:tcW w:type="pct" w:w="1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Hours</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Week 1</w:t>
            </w:r>
            <w:r>
              <w:br/>
            </w:r>
            <w:r>
              <w:rPr>
                <w:rFonts w:ascii="Roboto" w:cs="Roboto" w:eastAsia="Roboto" w:hAnsi="Roboto"/>
                <w:color w:val="1A1A1A"/>
                <w:sz w:val="20"/>
                <w:szCs w:val="20"/>
              </w:rPr>
              <w:t xml:space="preserve">Unit 1</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[Training work — what you did in Unit 1]</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Internal</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Week 2</w:t>
            </w:r>
            <w:r>
              <w:br/>
            </w:r>
            <w:r>
              <w:rPr>
                <w:rFonts w:ascii="Roboto" w:cs="Roboto" w:eastAsia="Roboto" w:hAnsi="Roboto"/>
                <w:color w:val="1A1A1A"/>
                <w:sz w:val="20"/>
                <w:szCs w:val="20"/>
              </w:rPr>
              <w:t xml:space="preserve">Unit 2</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[Training+ work — what you did in Unit 2]</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Internal</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Week 3</w:t>
            </w:r>
            <w:r>
              <w:br/>
            </w:r>
            <w:r>
              <w:rPr>
                <w:rFonts w:ascii="Roboto" w:cs="Roboto" w:eastAsia="Roboto" w:hAnsi="Roboto"/>
                <w:color w:val="1A1A1A"/>
                <w:sz w:val="20"/>
                <w:szCs w:val="20"/>
              </w:rPr>
              <w:t xml:space="preserve">Unit 3</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[Engagement fieldwork — what you did for the client]</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Billable</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gridSpan w:val="2"/>
            <w:shd w:fill="1F4E79" w:val="clear"/>
            <w:tcMar>
              <w:top w:type="dxa" w:w="60"/>
              <w:left w:type="dxa" w:w="110"/>
              <w:bottom w:type="dxa" w:w="60"/>
              <w:right w:type="dxa" w:w="110"/>
            </w:tcMar>
            <w:vAlign w:val="center"/>
          </w:tcPr>
          <w:p>
            <w:pPr>
              <w:jc w:val="right"/>
            </w:pPr>
            <w:r>
              <w:rPr>
                <w:rFonts w:ascii="Roboto" w:cs="Roboto" w:eastAsia="Roboto" w:hAnsi="Roboto"/>
                <w:color w:val="1A1A1A"/>
                <w:sz w:val="20"/>
                <w:szCs w:val="20"/>
              </w:rPr>
              <w:t xml:space="preserve">TOTAL</w:t>
            </w:r>
          </w:p>
        </w:tc>
        <w:tc>
          <w:tcPr>
            <w:shd w:fill="1F4E79" w:val="clear"/>
            <w:tcMar>
              <w:top w:type="dxa" w:w="60"/>
              <w:left w:type="dxa" w:w="110"/>
              <w:bottom w:type="dxa" w:w="60"/>
              <w:right w:type="dxa" w:w="110"/>
            </w:tcMar>
            <w:vAlign w:val="center"/>
          </w:tcPr>
          <w:p>
            <w:pPr>
              <w:jc w:val="center"/>
            </w:pPr>
            <w:r>
              <w:rPr>
                <w:rFonts w:ascii="Roboto" w:cs="Roboto" w:eastAsia="Roboto" w:hAnsi="Roboto"/>
                <w:b/>
                <w:bCs/>
                <w:color w:val="FFFFFF"/>
                <w:sz w:val="19"/>
                <w:szCs w:val="19"/>
              </w:rPr>
              <w:t xml:space="preserve">Internal [ ]  |  Billable [ ]</w:t>
            </w:r>
          </w:p>
        </w:tc>
        <w:tc>
          <w:tcPr>
            <w:shd w:fill="1F4E79" w:val="clear"/>
            <w:tcMar>
              <w:top w:type="dxa" w:w="60"/>
              <w:left w:type="dxa" w:w="110"/>
              <w:bottom w:type="dxa" w:w="60"/>
              <w:right w:type="dxa" w:w="110"/>
            </w:tcMar>
            <w:vAlign w:val="center"/>
          </w:tcPr>
          <w:p>
            <w:pPr>
              <w:jc w:val="center"/>
            </w:pPr>
            <w:r>
              <w:rPr>
                <w:rFonts w:ascii="Roboto" w:cs="Roboto" w:eastAsia="Roboto" w:hAnsi="Roboto"/>
                <w:b/>
                <w:bCs/>
                <w:color w:val="FFFFFF"/>
                <w:sz w:val="20"/>
                <w:szCs w:val="20"/>
              </w:rPr>
              <w:t xml:space="preserve">[ ]</w:t>
            </w:r>
          </w:p>
        </w:tc>
      </w:tr>
    </w:tbl>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B. Internal Runbook</w:t>
      </w:r>
    </w:p>
    <w:p>
      <w:pPr>
        <w:spacing w:after="120" w:line="276"/>
      </w:pPr>
      <w:r>
        <w:rPr>
          <w:rFonts w:ascii="Roboto" w:cs="Roboto" w:eastAsia="Roboto" w:hAnsi="Roboto"/>
          <w:color w:val="1A1A1A"/>
          <w:sz w:val="22"/>
          <w:szCs w:val="22"/>
        </w:rPr>
        <w:t xml:space="preserve">Audience: the next analyst who picks up this client next quarter. If a colleague had only your runbook, could they reproduce what you did? Document environment setup, tools and versions, the exact commands you ran, expected output, and where you got stuck and how you got unstuck.</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single" w:color="1E8449" w:sz="24"/>
              <w:bottom w:val="none" w:color="FFFFFF" w:sz="0"/>
              <w:right w:val="none" w:color="FFFFFF" w:sz="0"/>
            </w:tcBorders>
            <w:shd w:fill="F5F7FA" w:val="clear"/>
            <w:tcMar>
              <w:top w:type="dxa" w:w="120"/>
              <w:left w:type="dxa" w:w="200"/>
              <w:bottom w:type="dxa" w:w="120"/>
              <w:right w:type="dxa" w:w="200"/>
            </w:tcMar>
          </w:tcPr>
          <w:p>
            <w:pPr>
              <w:spacing w:after="40"/>
            </w:pPr>
            <w:r>
              <w:rPr>
                <w:rFonts w:ascii="Roboto" w:cs="Roboto" w:eastAsia="Roboto" w:hAnsi="Roboto"/>
                <w:b/>
                <w:bCs/>
                <w:color w:val="1E8449"/>
                <w:sz w:val="20"/>
                <w:szCs w:val="20"/>
              </w:rPr>
              <w:t xml:space="preserve">Good runbook test</w:t>
            </w:r>
          </w:p>
          <w:p>
            <w:r>
              <w:rPr>
                <w:rFonts w:ascii="Roboto" w:cs="Roboto" w:eastAsia="Roboto" w:hAnsi="Roboto"/>
                <w:color w:val="1A1A1A"/>
                <w:sz w:val="21"/>
                <w:szCs w:val="21"/>
              </w:rPr>
              <w:t xml:space="preserve">Screenshots are paired with the command that produced them. Commands live in code blocks, not prose. A reader who wasn’t there can tell what was working and what wasn’t.</w:t>
            </w:r>
          </w:p>
        </w:tc>
      </w:tr>
    </w:tbl>
    <w:p>
      <w:pPr>
        <w:spacing w:after="80"/>
      </w:pPr>
      <w:r>
        <w:t xml:space="preserve"/>
      </w:r>
    </w:p>
    <w:p>
      <w:pPr>
        <w:pStyle w:val="Heading2"/>
        <w:spacing w:after="120" w:before="240"/>
      </w:pPr>
      <w:r>
        <w:rPr>
          <w:rFonts w:ascii="Roboto Slab" w:cs="Roboto Slab" w:eastAsia="Roboto Slab" w:hAnsi="Roboto Slab"/>
          <w:b/>
          <w:bCs/>
          <w:color w:val="2E75B6"/>
          <w:sz w:val="24"/>
          <w:szCs w:val="24"/>
        </w:rPr>
        <w:t xml:space="preserve">Runbook entry — structure to follow</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Write one entry per tool or step in your engagement. Keep this structure. The Module 1 template (EP_M1_Brazos.docx) contains a fully worked example entry you can model.</w:t>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Pr>
      <w:tblGrid>
        <w:gridCol w:w="100"/>
      </w:tblGrid>
      <w:tr>
        <w:tc>
          <w:tcPr>
            <w:shd w:fill="F5F7FA" w:val="clear"/>
            <w:tcMar>
              <w:top w:type="dxa" w:w="100"/>
              <w:left w:type="dxa" w:w="160"/>
              <w:bottom w:type="dxa" w:w="100"/>
              <w:right w:type="dxa" w:w="160"/>
            </w:tcMar>
          </w:tcPr>
          <w:p>
            <w:r>
              <w:rPr>
                <w:rFonts w:ascii="Roboto Mono" w:cs="Roboto Mono" w:eastAsia="Roboto Mono" w:hAnsi="Roboto Mono"/>
                <w:color w:val="1A1A1A"/>
                <w:sz w:val="17"/>
                <w:szCs w:val="17"/>
              </w:rPr>
              <w:t xml:space="preserve">[TOOL OR STEP NAME]</w:t>
            </w:r>
            <w:r>
              <w:br/>
            </w:r>
            <w:r>
              <w:rPr>
                <w:rFonts w:ascii="Roboto Mono" w:cs="Roboto Mono" w:eastAsia="Roboto Mono" w:hAnsi="Roboto Mono"/>
                <w:color w:val="1A1A1A"/>
                <w:sz w:val="17"/>
                <w:szCs w:val="17"/>
              </w:rPr>
              <w:t xml:space="preserve">------------------------------------------------------------</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Purpose: [what this tool/step accomplishes and why]</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Options / flags used:</w:t>
            </w:r>
            <w:r>
              <w:br/>
            </w:r>
            <w:r>
              <w:rPr>
                <w:rFonts w:ascii="Roboto Mono" w:cs="Roboto Mono" w:eastAsia="Roboto Mono" w:hAnsi="Roboto Mono"/>
                <w:color w:val="1A1A1A"/>
                <w:sz w:val="17"/>
                <w:szCs w:val="17"/>
              </w:rPr>
              <w:t xml:space="preserve">  [flag]   [what it does]</w:t>
            </w:r>
            <w:r>
              <w:br/>
            </w:r>
            <w:r>
              <w:rPr>
                <w:rFonts w:ascii="Roboto Mono" w:cs="Roboto Mono" w:eastAsia="Roboto Mono" w:hAnsi="Roboto Mono"/>
                <w:color w:val="1A1A1A"/>
                <w:sz w:val="17"/>
                <w:szCs w:val="17"/>
              </w:rPr>
              <w:t xml:space="preserve">  [flag]   [what it does]</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Exact command as run:</w:t>
            </w:r>
            <w:r>
              <w:br/>
            </w:r>
            <w:r>
              <w:rPr>
                <w:rFonts w:ascii="Roboto Mono" w:cs="Roboto Mono" w:eastAsia="Roboto Mono" w:hAnsi="Roboto Mono"/>
                <w:color w:val="1A1A1A"/>
                <w:sz w:val="17"/>
                <w:szCs w:val="17"/>
              </w:rPr>
              <w:t xml:space="preserve">  [the full command, copy-pasted from your terminal]</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Sample output excerpt:</w:t>
            </w:r>
            <w:r>
              <w:br/>
            </w:r>
            <w:r>
              <w:rPr>
                <w:rFonts w:ascii="Roboto Mono" w:cs="Roboto Mono" w:eastAsia="Roboto Mono" w:hAnsi="Roboto Mono"/>
                <w:color w:val="1A1A1A"/>
                <w:sz w:val="17"/>
                <w:szCs w:val="17"/>
              </w:rPr>
              <w:t xml:space="preserve">  [paste the relevant lines of output]</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Next steps / interpretation:</w:t>
            </w:r>
            <w:r>
              <w:br/>
            </w:r>
            <w:r>
              <w:rPr>
                <w:rFonts w:ascii="Roboto Mono" w:cs="Roboto Mono" w:eastAsia="Roboto Mono" w:hAnsi="Roboto Mono"/>
                <w:color w:val="1A1A1A"/>
                <w:sz w:val="17"/>
                <w:szCs w:val="17"/>
              </w:rPr>
              <w:t xml:space="preserve">  [what you did with this result]</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Pitfalls observed: [anything that tripped you up and how you</w:t>
            </w:r>
            <w:r>
              <w:br/>
            </w:r>
            <w:r>
              <w:rPr>
                <w:rFonts w:ascii="Roboto Mono" w:cs="Roboto Mono" w:eastAsia="Roboto Mono" w:hAnsi="Roboto Mono"/>
                <w:color w:val="1A1A1A"/>
                <w:sz w:val="17"/>
                <w:szCs w:val="17"/>
              </w:rPr>
              <w:t xml:space="preserve">got past it]</w:t>
            </w:r>
          </w:p>
        </w:tc>
      </w:tr>
    </w:tbl>
    <w:p>
      <w:pPr>
        <w:spacing w:after="120" w:line="276"/>
      </w:pPr>
      <w:r>
        <w:rPr>
          <w:rFonts w:ascii="Roboto" w:cs="Roboto" w:eastAsia="Roboto" w:hAnsi="Roboto"/>
          <w:i/>
          <w:iCs/>
          <w:color w:val="595959"/>
          <w:sz w:val="22"/>
          <w:szCs w:val="22"/>
        </w:rPr>
        <w:t xml:space="preserve">[Screenshot here — pair each runbook entry with the terminal output that produced it, kali-abc123 visible in the prompt.]</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C. Analyst Reflection</w:t>
      </w:r>
    </w:p>
    <w:p>
      <w:pPr>
        <w:spacing w:after="120" w:line="276"/>
      </w:pPr>
      <w:r>
        <w:rPr>
          <w:rFonts w:ascii="Roboto" w:cs="Roboto" w:eastAsia="Roboto" w:hAnsi="Roboto"/>
          <w:color w:val="1A1A1A"/>
          <w:sz w:val="22"/>
          <w:szCs w:val="22"/>
        </w:rPr>
        <w:t xml:space="preserve">Audience: you and your instructor. This is where the learning lives. Three prompts — answer all three honestly.</w:t>
      </w:r>
    </w:p>
    <w:p>
      <w:pPr>
        <w:pStyle w:val="Heading2"/>
        <w:spacing w:after="120" w:before="240"/>
      </w:pPr>
      <w:r>
        <w:rPr>
          <w:rFonts w:ascii="Roboto Slab" w:cs="Roboto Slab" w:eastAsia="Roboto Slab" w:hAnsi="Roboto Slab"/>
          <w:b/>
          <w:bCs/>
          <w:color w:val="2E75B6"/>
          <w:sz w:val="24"/>
          <w:szCs w:val="24"/>
        </w:rPr>
        <w:t xml:space="preserve">1. Timesheet Self-Audit</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Looking at your timesheet: was there a task that took disproportionately long? Describe what made it slow and what you’d do differently. Then total your hours — if Maya Rodriguez reviewed this timesheet alongside your deliverable, what would she conclude about your efficiency? Be candid; this is a professional self-audit, not a grade defense.</w:t>
      </w:r>
    </w:p>
    <w:p>
      <w:pPr>
        <w:spacing w:after="120"/>
      </w:pPr>
      <w:r>
        <w:rPr>
          <w:rFonts w:ascii="Roboto" w:cs="Roboto" w:eastAsia="Roboto" w:hAnsi="Roboto"/>
          <w:i/>
          <w:iCs/>
          <w:color w:val="595959"/>
          <w:sz w:val="22"/>
          <w:szCs w:val="22"/>
        </w:rPr>
        <w:t xml:space="preserve">[Your timesheet self-audit here.]</w:t>
      </w:r>
    </w:p>
    <w:p>
      <w:pPr>
        <w:pStyle w:val="Heading2"/>
        <w:spacing w:after="120" w:before="240"/>
      </w:pPr>
      <w:r>
        <w:rPr>
          <w:rFonts w:ascii="Roboto Slab" w:cs="Roboto Slab" w:eastAsia="Roboto Slab" w:hAnsi="Roboto Slab"/>
          <w:b/>
          <w:bCs/>
          <w:color w:val="2E75B6"/>
          <w:sz w:val="24"/>
          <w:szCs w:val="24"/>
        </w:rPr>
        <w:t xml:space="preserve">2. Professional Reflection</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What worked? What didn’t? If you ran this engagement again with what you know now, what would you do differently? Be specific — “I’d communicate findings to the client earlier” beats “I’d be more organized.”</w:t>
      </w:r>
    </w:p>
    <w:p>
      <w:pPr>
        <w:spacing w:after="120"/>
      </w:pPr>
      <w:r>
        <w:rPr>
          <w:rFonts w:ascii="Roboto" w:cs="Roboto" w:eastAsia="Roboto" w:hAnsi="Roboto"/>
          <w:i/>
          <w:iCs/>
          <w:color w:val="595959"/>
          <w:sz w:val="22"/>
          <w:szCs w:val="22"/>
        </w:rPr>
        <w:t xml:space="preserve">[Your professional reflection here.]</w:t>
      </w:r>
    </w:p>
    <w:p>
      <w:pPr>
        <w:pStyle w:val="Heading2"/>
        <w:spacing w:after="120" w:before="240"/>
      </w:pPr>
      <w:r>
        <w:rPr>
          <w:rFonts w:ascii="Roboto Slab" w:cs="Roboto Slab" w:eastAsia="Roboto Slab" w:hAnsi="Roboto Slab"/>
          <w:b/>
          <w:bCs/>
          <w:color w:val="2E75B6"/>
          <w:sz w:val="24"/>
          <w:szCs w:val="24"/>
        </w:rPr>
        <w:t xml:space="preserve">3. AI Methodology Reflection</w:t>
      </w:r>
    </w:p>
    <w:p>
      <w:pPr>
        <w:spacing w:after="120" w:line="276"/>
      </w:pPr>
      <w:r>
        <w:rPr>
          <w:rFonts w:ascii="Roboto" w:cs="Roboto" w:eastAsia="Roboto" w:hAnsi="Roboto"/>
          <w:i/>
          <w:iCs/>
          <w:color w:val="1A1A1A"/>
          <w:sz w:val="22"/>
          <w:szCs w:val="22"/>
        </w:rPr>
        <w:t xml:space="preserve">Where did AI help you on this engagement, how did you verify what it told you, and did you really need it?</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There’s no minimum word count — answer honestly. “I didn’t use AI on this engagement (N/A)” is perfectly acceptable if it’s true. But it had better be true — don’t claim N/A if your runbook is full of AI-generated explanations.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single" w:color="1E8449" w:sz="24"/>
              <w:bottom w:val="none" w:color="FFFFFF" w:sz="0"/>
              <w:right w:val="none" w:color="FFFFFF" w:sz="0"/>
            </w:tcBorders>
            <w:shd w:fill="F5F7FA" w:val="clear"/>
            <w:tcMar>
              <w:top w:type="dxa" w:w="120"/>
              <w:left w:type="dxa" w:w="200"/>
              <w:bottom w:type="dxa" w:w="120"/>
              <w:right w:type="dxa" w:w="200"/>
            </w:tcMar>
          </w:tcPr>
          <w:p>
            <w:pPr>
              <w:spacing w:after="40"/>
            </w:pPr>
            <w:r>
              <w:rPr>
                <w:rFonts w:ascii="Roboto" w:cs="Roboto" w:eastAsia="Roboto" w:hAnsi="Roboto"/>
                <w:b/>
                <w:bCs/>
                <w:color w:val="1E8449"/>
                <w:sz w:val="20"/>
                <w:szCs w:val="20"/>
              </w:rPr>
              <w:t xml:space="preserve">What a good reflection looks like</w:t>
            </w:r>
          </w:p>
          <w:p>
            <w:r>
              <w:rPr>
                <w:rFonts w:ascii="Roboto" w:cs="Roboto" w:eastAsia="Roboto" w:hAnsi="Roboto"/>
                <w:color w:val="1A1A1A"/>
                <w:sz w:val="21"/>
                <w:szCs w:val="21"/>
              </w:rPr>
              <w:t xml:space="preserve">“I asked Claude to explain what the -sS flag does in nmap. It said SYN-scan that doesn’t complete the TCP handshake. I verified against the nmap man page (man nmap, lines 124–138) and confirmed it. In hindsight reading the man page first would have been faster, since I had to read it anyway to verify. For Module 2 I’m going to try man page first, AI second.”</w:t>
            </w:r>
          </w:p>
        </w:tc>
      </w:tr>
    </w:tbl>
    <w:p>
      <w:pPr>
        <w:spacing w:after="60"/>
      </w:pPr>
      <w:r>
        <w:t xml:space="preserv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single" w:color="C0392B" w:sz="24"/>
              <w:bottom w:val="none" w:color="FFFFFF" w:sz="0"/>
              <w:right w:val="none" w:color="FFFFFF" w:sz="0"/>
            </w:tcBorders>
            <w:shd w:fill="F5F7FA" w:val="clear"/>
            <w:tcMar>
              <w:top w:type="dxa" w:w="120"/>
              <w:left w:type="dxa" w:w="200"/>
              <w:bottom w:type="dxa" w:w="120"/>
              <w:right w:type="dxa" w:w="200"/>
            </w:tcMar>
          </w:tcPr>
          <w:p>
            <w:pPr>
              <w:spacing w:after="40"/>
            </w:pPr>
            <w:r>
              <w:rPr>
                <w:rFonts w:ascii="Roboto" w:cs="Roboto" w:eastAsia="Roboto" w:hAnsi="Roboto"/>
                <w:b/>
                <w:bCs/>
                <w:color w:val="C0392B"/>
                <w:sz w:val="20"/>
                <w:szCs w:val="20"/>
              </w:rPr>
              <w:t xml:space="preserve">What to avoid</w:t>
            </w:r>
          </w:p>
          <w:p>
            <w:r>
              <w:rPr>
                <w:rFonts w:ascii="Roboto" w:cs="Roboto" w:eastAsia="Roboto" w:hAnsi="Roboto"/>
                <w:color w:val="1A1A1A"/>
                <w:sz w:val="21"/>
                <w:szCs w:val="21"/>
              </w:rPr>
              <w:t xml:space="preserve">“I used AI to help me understand the concepts. It was very helpful for explaining things and helped me learn the material. I verified its responses by cross-checking with the textbook and online sources. AI is a powerful tool I will continue to use as I develop my skills.” — generic, unverified, performative. Don’t do this.</w:t>
            </w:r>
          </w:p>
        </w:tc>
      </w:tr>
    </w:tbl>
    <w:p>
      <w:pPr>
        <w:spacing w:after="60"/>
      </w:pPr>
      <w:r>
        <w:t xml:space="preserve"/>
      </w:r>
    </w:p>
    <w:p>
      <w:pPr>
        <w:spacing w:after="120"/>
      </w:pPr>
      <w:r>
        <w:rPr>
          <w:rFonts w:ascii="Roboto" w:cs="Roboto" w:eastAsia="Roboto" w:hAnsi="Roboto"/>
          <w:i/>
          <w:iCs/>
          <w:color w:val="595959"/>
          <w:sz w:val="22"/>
          <w:szCs w:val="22"/>
        </w:rPr>
        <w:t xml:space="preserve">[Your AI methodology reflection here — or a truthful N/A.]</w:t>
      </w:r>
    </w:p>
    <w:p>
      <w:r>
        <w:br w:type="page"/>
      </w:r>
    </w:p>
    <w:p>
      <w:pPr>
        <w:spacing w:after="40" w:before="240"/>
        <w:jc w:val="center"/>
      </w:pPr>
      <w:r>
        <w:rPr>
          <w:rFonts w:ascii="Roboto" w:cs="Roboto" w:eastAsia="Roboto" w:hAnsi="Roboto"/>
          <w:b/>
          <w:bCs/>
          <w:color w:val="595959"/>
          <w:spacing w:val="30"/>
          <w:sz w:val="18"/>
          <w:szCs w:val="18"/>
        </w:rPr>
        <w:t xml:space="preserve">PART II — FINDINGS CONTRIBUTION</w:t>
      </w:r>
    </w:p>
    <w:p>
      <w:pPr>
        <w:spacing w:after="160"/>
      </w:pPr>
      <w:r>
        <w:t xml:space="preserve"/>
      </w:r>
    </w:p>
    <w:p>
      <w:pPr>
        <w:jc w:val="center"/>
      </w:pPr>
      <w:r>
        <w:drawing>
          <wp:inline distT="0" distB="0" distL="0" distR="0">
            <wp:extent cx="1647825"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47825" cy="1143000"/>
                    </a:xfrm>
                    <a:prstGeom prst="rect">
                      <a:avLst/>
                    </a:prstGeom>
                  </pic:spPr>
                </pic:pic>
              </a:graphicData>
            </a:graphic>
          </wp:inline>
        </w:drawing>
      </w:r>
    </w:p>
    <w:p>
      <w:pPr>
        <w:spacing w:after="40" w:before="80"/>
        <w:jc w:val="center"/>
      </w:pPr>
      <w:r>
        <w:rPr>
          <w:rFonts w:ascii="Roboto Slab" w:cs="Roboto Slab" w:eastAsia="Roboto Slab" w:hAnsi="Roboto Slab"/>
          <w:b/>
          <w:bCs/>
          <w:color w:val="454F5E"/>
          <w:sz w:val="30"/>
          <w:szCs w:val="30"/>
        </w:rPr>
        <w:t xml:space="preserve">PASSWORD SECURITY ASSESSMENT</w:t>
      </w:r>
    </w:p>
    <w:tbl>
      <w:tblPr>
        <w:tblW w:type="pct" w:w="50%"/>
        <w:jc w:val="center"/>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454F5E" w:val="clear"/>
            <w:tcMar>
              <w:top w:type="dxa" w:w="24"/>
              <w:bottom w:type="dxa" w:w="24"/>
            </w:tcMar>
          </w:tcPr>
          <w:p>
            <w:r>
              <w:rPr>
                <w:sz w:val="6"/>
                <w:szCs w:val="6"/>
              </w:rPr>
              <w:t xml:space="preserve"/>
            </w:r>
          </w:p>
        </w:tc>
      </w:tr>
    </w:tbl>
    <w:p>
      <w:pPr>
        <w:spacing w:after="420"/>
      </w:pPr>
      <w:r>
        <w:t xml:space="preserve"/>
      </w:r>
    </w:p>
    <w:p>
      <w:pPr>
        <w:spacing w:after="60"/>
        <w:jc w:val="center"/>
      </w:pPr>
      <w:r>
        <w:rPr>
          <w:rFonts w:ascii="Roboto Slab" w:cs="Roboto Slab" w:eastAsia="Roboto Slab" w:hAnsi="Roboto Slab"/>
          <w:b/>
          <w:bCs/>
          <w:color w:val="1F4E79"/>
          <w:sz w:val="40"/>
          <w:szCs w:val="40"/>
        </w:rPr>
        <w:t xml:space="preserve">Password Security Findings</w:t>
      </w:r>
    </w:p>
    <w:p>
      <w:pPr>
        <w:spacing w:after="40"/>
        <w:jc w:val="center"/>
      </w:pPr>
      <w:r>
        <w:rPr>
          <w:rFonts w:ascii="Roboto" w:cs="Roboto" w:eastAsia="Roboto" w:hAnsi="Roboto"/>
          <w:color w:val="595959"/>
          <w:sz w:val="24"/>
          <w:szCs w:val="24"/>
        </w:rPr>
        <w:t xml:space="preserve">Internal Findings — for inclusion in the client report</w:t>
      </w:r>
    </w:p>
    <w:p>
      <w:pPr>
        <w:spacing w:after="480"/>
        <w:jc w:val="center"/>
      </w:pPr>
      <w:r>
        <w:rPr>
          <w:rFonts w:ascii="Roboto" w:cs="Roboto" w:eastAsia="Roboto" w:hAnsi="Roboto"/>
          <w:i/>
          <w:iCs/>
          <w:color w:val="595959"/>
          <w:sz w:val="22"/>
          <w:szCs w:val="22"/>
        </w:rPr>
        <w:t xml:space="preserve">Module 4 — Password Security Assessment</w:t>
      </w:r>
    </w:p>
    <w:p>
      <w:pPr>
        <w:spacing w:after="360"/>
      </w:pPr>
      <w:r>
        <w:t xml:space="preserve"/>
      </w:r>
    </w:p>
    <w:tbl>
      <w:tblPr>
        <w:tblW w:type="pct" w:w="76%"/>
        <w:jc w:val="center"/>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tblGrid>
      <w:tr>
        <w:tc>
          <w:tcPr>
            <w:tcW w:type="pct" w:w="34%"/>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Findings for</w:t>
            </w:r>
          </w:p>
        </w:tc>
        <w:tc>
          <w:tcPr>
            <w:tcW w:type="pct" w:w="66%"/>
            <w:tcMar>
              <w:top w:type="dxa" w:w="60"/>
              <w:left w:type="dxa" w:w="110"/>
              <w:bottom w:type="dxa" w:w="60"/>
              <w:right w:type="dxa" w:w="110"/>
            </w:tcMar>
            <w:vAlign w:val="center"/>
          </w:tcPr>
          <w:p>
            <w:r>
              <w:rPr>
                <w:rFonts w:ascii="Roboto" w:cs="Roboto" w:eastAsia="Roboto" w:hAnsi="Roboto"/>
                <w:color w:val="1A1A1A"/>
                <w:sz w:val="20"/>
                <w:szCs w:val="20"/>
              </w:rPr>
              <w:t xml:space="preserve">Brazos Financial Group / Alamo Industries</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Prepared by</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NEXUS Security Consulting</w:t>
            </w:r>
            <w:r>
              <w:br/>
            </w:r>
            <w:fldSimple w:instr="DOCPROPERTY Author \* MERGEFORMA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Date</w:t>
            </w:r>
          </w:p>
        </w:tc>
        <w:tc>
          <w:tcPr>
            <w:tcMar>
              <w:top w:type="dxa" w:w="60"/>
              <w:left w:type="dxa" w:w="110"/>
              <w:bottom w:type="dxa" w:w="60"/>
              <w:right w:type="dxa" w:w="110"/>
            </w:tcMar>
            <w:vAlign w:val="center"/>
          </w:tcPr>
          <w:p>
            <w:fldSimple w:instr="DATE \@ &quot;MMMM d, yyyy&quo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Classification</w:t>
            </w:r>
          </w:p>
        </w:tc>
        <w:tc>
          <w:tcPr>
            <w:tcMar>
              <w:top w:type="dxa" w:w="60"/>
              <w:left w:type="dxa" w:w="110"/>
              <w:bottom w:type="dxa" w:w="60"/>
              <w:right w:type="dxa" w:w="110"/>
            </w:tcMar>
            <w:vAlign w:val="center"/>
          </w:tcPr>
          <w:p>
            <w:r>
              <w:rPr>
                <w:rFonts w:ascii="Roboto" w:cs="Roboto" w:eastAsia="Roboto" w:hAnsi="Roboto"/>
                <w:b/>
                <w:bCs/>
                <w:color w:val="C00000"/>
                <w:sz w:val="20"/>
                <w:szCs w:val="20"/>
              </w:rPr>
              <w:t xml:space="preserve">CONFIDENTIAL — Client Use Only</w:t>
            </w:r>
          </w:p>
        </w:tc>
      </w:tr>
    </w:tbl>
    <w:p>
      <w:pPr>
        <w:spacing w:after="200"/>
      </w:pPr>
      <w:r>
        <w:t xml:space="preserve"/>
      </w:r>
    </w:p>
    <w:p>
      <w:pPr>
        <w:spacing w:before="240"/>
        <w:jc w:val="center"/>
      </w:pPr>
      <w:r>
        <w:rPr>
          <w:rFonts w:ascii="Roboto" w:cs="Roboto" w:eastAsia="Roboto" w:hAnsi="Roboto"/>
          <w:color w:val="595959"/>
          <w:sz w:val="16"/>
          <w:szCs w:val="16"/>
        </w:rPr>
        <w:t xml:space="preserve">Prepared by NEXUS Security Consulting</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This module is an internal contribution to a larger engagement. Other analysts own the full Brazos and Alamo client relationships; your job is the password-security portion. The section that follows is written so the lead analyst can fold your findings directly into their client deliverable — so it still meets client-facing quality, even though you are not delivering it to the client yourself.</w:t>
      </w:r>
    </w:p>
    <w:p>
      <w:r>
        <w:br w:type="page"/>
      </w:r>
    </w:p>
    <w:p>
      <w:pPr>
        <w:pBdr>
          <w:bottom w:val="single" w:color="2E75B6" w:sz="12"/>
        </w:pBdr>
        <w:spacing w:after="60" w:before="120"/>
      </w:pPr>
      <w:r>
        <w:rPr>
          <w:rFonts w:ascii="Roboto Slab" w:cs="Roboto Slab" w:eastAsia="Roboto Slab" w:hAnsi="Roboto Slab"/>
          <w:b/>
          <w:bCs/>
          <w:color w:val="2E75B6"/>
          <w:sz w:val="32"/>
          <w:szCs w:val="32"/>
        </w:rPr>
        <w:t xml:space="preserve">The Findings Contribution</w:t>
      </w:r>
    </w:p>
    <w:p>
      <w:pPr>
        <w:spacing w:after="120" w:line="276"/>
      </w:pPr>
      <w:r>
        <w:rPr>
          <w:rFonts w:ascii="Roboto" w:cs="Roboto" w:eastAsia="Roboto" w:hAnsi="Roboto"/>
          <w:color w:val="1A1A1A"/>
          <w:sz w:val="22"/>
          <w:szCs w:val="22"/>
        </w:rPr>
        <w:t xml:space="preserve">Part II is your password-security findings, written to client-facing standard so the lead analyst can drop it straight into the larger Brazos / Alamo deliverable. You are contributing the password portion, not the whole report — but treat it as if leadership will read it, because they will.</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single" w:color="2E75B6" w:sz="24"/>
              <w:bottom w:val="none" w:color="FFFFFF" w:sz="0"/>
              <w:right w:val="none" w:color="FFFFFF" w:sz="0"/>
            </w:tcBorders>
            <w:shd w:fill="F5F7FA" w:val="clear"/>
            <w:tcMar>
              <w:top w:type="dxa" w:w="120"/>
              <w:left w:type="dxa" w:w="200"/>
              <w:bottom w:type="dxa" w:w="120"/>
              <w:right w:type="dxa" w:w="200"/>
            </w:tcMar>
          </w:tcPr>
          <w:p>
            <w:pPr>
              <w:spacing w:after="40"/>
            </w:pPr>
            <w:r>
              <w:rPr>
                <w:rFonts w:ascii="Roboto" w:cs="Roboto" w:eastAsia="Roboto" w:hAnsi="Roboto"/>
                <w:b/>
                <w:bCs/>
                <w:color w:val="2E75B6"/>
                <w:sz w:val="20"/>
                <w:szCs w:val="20"/>
              </w:rPr>
              <w:t xml:space="preserve">Audience</w:t>
            </w:r>
          </w:p>
          <w:p>
            <w:r>
              <w:rPr>
                <w:rFonts w:ascii="Roboto" w:cs="Roboto" w:eastAsia="Roboto" w:hAnsi="Roboto"/>
                <w:color w:val="1A1A1A"/>
                <w:sz w:val="21"/>
                <w:szCs w:val="21"/>
              </w:rPr>
              <w:t xml:space="preserve">The lead analyst on the Brazos and Alamo engagements. Your findings here will be folded into the larger client deliverables they own.</w:t>
            </w:r>
          </w:p>
        </w:tc>
      </w:tr>
    </w:tbl>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Executive Summary</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One page maximum, board-readable. What we did, what we found, and what to do about it — in plain language. A non-technical executive should understand the risk and the next step without reading the rest of the report.</w:t>
      </w:r>
    </w:p>
    <w:p>
      <w:pPr>
        <w:spacing w:after="120"/>
      </w:pPr>
      <w:r>
        <w:rPr>
          <w:rFonts w:ascii="Roboto" w:cs="Roboto" w:eastAsia="Roboto" w:hAnsi="Roboto"/>
          <w:i/>
          <w:iCs/>
          <w:color w:val="595959"/>
          <w:sz w:val="22"/>
          <w:szCs w:val="22"/>
        </w:rPr>
        <w:t xml:space="preserve">[Your executive summary here — one page maximum.]</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Methodology</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A brief overview of how the engagement was conducted — scope, approach, tools at a high level. The client does not need command-by-command detail; that lives in your runbook (Part I.B).</w:t>
      </w:r>
    </w:p>
    <w:p>
      <w:pPr>
        <w:spacing w:after="120"/>
      </w:pPr>
      <w:r>
        <w:rPr>
          <w:rFonts w:ascii="Roboto" w:cs="Roboto" w:eastAsia="Roboto" w:hAnsi="Roboto"/>
          <w:i/>
          <w:iCs/>
          <w:color w:val="595959"/>
          <w:sz w:val="22"/>
          <w:szCs w:val="22"/>
        </w:rPr>
        <w:t xml:space="preserve">[Your methodology overview here.]</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Findings</w:t>
      </w:r>
    </w:p>
    <w:p>
      <w:pPr>
        <w:spacing w:after="120" w:line="276"/>
      </w:pPr>
      <w:r>
        <w:rPr>
          <w:rFonts w:ascii="Roboto" w:cs="Roboto" w:eastAsia="Roboto" w:hAnsi="Roboto"/>
          <w:color w:val="1A1A1A"/>
          <w:sz w:val="22"/>
          <w:szCs w:val="22"/>
        </w:rPr>
        <w:t xml:space="preserve">Organized by severity, highest first. Each finding has a number, title, severity, affected host/port, description, evidence (screenshot), impact, and recommendation.</w:t>
      </w:r>
    </w:p>
    <w:p>
      <w:pPr>
        <w:pStyle w:val="Heading2"/>
        <w:spacing w:after="120" w:before="240"/>
      </w:pPr>
      <w:r>
        <w:rPr>
          <w:rFonts w:ascii="Roboto Slab" w:cs="Roboto Slab" w:eastAsia="Roboto Slab" w:hAnsi="Roboto Slab"/>
          <w:b/>
          <w:bCs/>
          <w:color w:val="2E75B6"/>
          <w:sz w:val="24"/>
          <w:szCs w:val="24"/>
        </w:rPr>
        <w:t xml:space="preserve">Finding — structure to follow</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One card per finding, highest severity first. Keep every field. The Module 1 template (EP_M1_Brazos.docx) has a fully worked example finding you can model.</w:t>
      </w:r>
    </w:p>
    <w:p>
      <w:pPr>
        <w:spacing w:after="60"/>
      </w:pPr>
      <w:r>
        <w:t xml:space="preserv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D9D9D9" w:sz="4"/>
              <w:left w:val="single" w:color="D68910" w:sz="24"/>
              <w:bottom w:val="single" w:color="D9D9D9" w:sz="4"/>
              <w:right w:val="single" w:color="D9D9D9" w:sz="4"/>
            </w:tcBorders>
            <w:shd w:fill="F5F7FA" w:val="clear"/>
            <w:tcMar>
              <w:top w:type="dxa" w:w="140"/>
              <w:left w:type="dxa" w:w="200"/>
              <w:bottom w:type="dxa" w:w="140"/>
              <w:right w:type="dxa" w:w="200"/>
            </w:tcMar>
          </w:tcPr>
          <w:p>
            <w:pPr>
              <w:spacing w:after="60"/>
            </w:pPr>
            <w:r>
              <w:rPr>
                <w:rFonts w:ascii="Roboto Slab" w:cs="Roboto Slab" w:eastAsia="Roboto Slab" w:hAnsi="Roboto Slab"/>
                <w:b/>
                <w:bCs/>
                <w:color w:val="1F4E79"/>
                <w:sz w:val="22"/>
                <w:szCs w:val="22"/>
              </w:rPr>
              <w:t xml:space="preserve">FINDING 001 — [Title of your highest-severity finding]</w:t>
            </w:r>
          </w:p>
          <w:p>
            <w:pPr>
              <w:spacing w:after="100"/>
            </w:pPr>
            <w:r>
              <w:rPr>
                <w:rFonts w:ascii="Roboto" w:cs="Roboto" w:eastAsia="Roboto" w:hAnsi="Roboto"/>
                <w:b/>
                <w:bCs/>
                <w:color w:val="1A1A1A"/>
                <w:sz w:val="20"/>
                <w:szCs w:val="20"/>
              </w:rPr>
              <w:t xml:space="preserve">Severity: </w:t>
            </w:r>
            <w:r>
              <w:rPr>
                <w:rFonts w:ascii="Roboto" w:cs="Roboto" w:eastAsia="Roboto" w:hAnsi="Roboto"/>
                <w:color w:val="595959"/>
                <w:sz w:val="20"/>
                <w:szCs w:val="20"/>
              </w:rPr>
              <w:t xml:space="preserve">[Critical / High / Medium / Low]</w:t>
            </w:r>
            <w:r>
              <w:rPr>
                <w:rFonts w:ascii="Roboto" w:cs="Roboto" w:eastAsia="Roboto" w:hAnsi="Roboto"/>
                <w:color w:val="595959"/>
                <w:sz w:val="20"/>
                <w:szCs w:val="20"/>
              </w:rPr>
              <w:t xml:space="preserve">    Affected: [host / system / account]</w:t>
            </w:r>
          </w:p>
          <w:p>
            <w:pPr>
              <w:spacing w:after="40"/>
            </w:pPr>
            <w:r>
              <w:rPr>
                <w:rFonts w:ascii="Roboto" w:cs="Roboto" w:eastAsia="Roboto" w:hAnsi="Roboto"/>
                <w:b/>
                <w:bCs/>
                <w:color w:val="2E75B6"/>
                <w:sz w:val="20"/>
                <w:szCs w:val="20"/>
              </w:rPr>
              <w:t xml:space="preserve">Description</w:t>
            </w:r>
          </w:p>
          <w:p>
            <w:pPr>
              <w:spacing w:after="100"/>
            </w:pPr>
            <w:r>
              <w:rPr>
                <w:rFonts w:ascii="Roboto" w:cs="Roboto" w:eastAsia="Roboto" w:hAnsi="Roboto"/>
                <w:color w:val="595959"/>
                <w:sz w:val="21"/>
                <w:szCs w:val="21"/>
              </w:rPr>
              <w:t xml:space="preserve">[What the issue is, in client-readable terms.]</w:t>
            </w:r>
          </w:p>
          <w:p>
            <w:pPr>
              <w:spacing w:after="40"/>
            </w:pPr>
            <w:r>
              <w:rPr>
                <w:rFonts w:ascii="Roboto" w:cs="Roboto" w:eastAsia="Roboto" w:hAnsi="Roboto"/>
                <w:b/>
                <w:bCs/>
                <w:color w:val="2E75B6"/>
                <w:sz w:val="20"/>
                <w:szCs w:val="20"/>
              </w:rPr>
              <w:t xml:space="preserve">Evidence</w:t>
            </w:r>
          </w:p>
          <w:p>
            <w:pPr>
              <w:spacing w:after="100"/>
            </w:pPr>
            <w:r>
              <w:rPr>
                <w:rFonts w:ascii="Roboto" w:cs="Roboto" w:eastAsia="Roboto" w:hAnsi="Roboto"/>
                <w:i/>
                <w:iCs/>
                <w:color w:val="595959"/>
                <w:sz w:val="21"/>
                <w:szCs w:val="21"/>
              </w:rPr>
              <w:t xml:space="preserve">[Reference the screenshot/output that proves it; full output in Appendix.]</w:t>
            </w:r>
          </w:p>
          <w:p>
            <w:pPr>
              <w:spacing w:after="40"/>
            </w:pPr>
            <w:r>
              <w:rPr>
                <w:rFonts w:ascii="Roboto" w:cs="Roboto" w:eastAsia="Roboto" w:hAnsi="Roboto"/>
                <w:b/>
                <w:bCs/>
                <w:color w:val="2E75B6"/>
                <w:sz w:val="20"/>
                <w:szCs w:val="20"/>
              </w:rPr>
              <w:t xml:space="preserve">Impact</w:t>
            </w:r>
          </w:p>
          <w:p>
            <w:pPr>
              <w:spacing w:after="100"/>
            </w:pPr>
            <w:r>
              <w:rPr>
                <w:rFonts w:ascii="Roboto" w:cs="Roboto" w:eastAsia="Roboto" w:hAnsi="Roboto"/>
                <w:color w:val="595959"/>
                <w:sz w:val="21"/>
                <w:szCs w:val="21"/>
              </w:rPr>
              <w:t xml:space="preserve">[What it means for the business if left unaddressed.]</w:t>
            </w:r>
          </w:p>
          <w:p>
            <w:pPr>
              <w:spacing w:after="40"/>
            </w:pPr>
            <w:r>
              <w:rPr>
                <w:rFonts w:ascii="Roboto" w:cs="Roboto" w:eastAsia="Roboto" w:hAnsi="Roboto"/>
                <w:b/>
                <w:bCs/>
                <w:color w:val="2E75B6"/>
                <w:sz w:val="20"/>
                <w:szCs w:val="20"/>
              </w:rPr>
              <w:t xml:space="preserve">Recommendation</w:t>
            </w:r>
          </w:p>
          <w:p>
            <w:r>
              <w:rPr>
                <w:rFonts w:ascii="Roboto" w:cs="Roboto" w:eastAsia="Roboto" w:hAnsi="Roboto"/>
                <w:color w:val="595959"/>
                <w:sz w:val="21"/>
                <w:szCs w:val="21"/>
              </w:rPr>
              <w:t xml:space="preserve">[The specific fix, and any longer-term measure.]</w:t>
            </w:r>
          </w:p>
        </w:tc>
      </w:tr>
    </w:tbl>
    <w:p>
      <w:pPr>
        <w:spacing w:after="120"/>
      </w:pPr>
      <w:r>
        <w:t xml:space="preserve"/>
      </w:r>
    </w:p>
    <w:p>
      <w:pPr>
        <w:spacing w:after="120"/>
      </w:pPr>
      <w:r>
        <w:rPr>
          <w:rFonts w:ascii="Roboto" w:cs="Roboto" w:eastAsia="Roboto" w:hAnsi="Roboto"/>
          <w:i/>
          <w:iCs/>
          <w:color w:val="595959"/>
          <w:sz w:val="22"/>
          <w:szCs w:val="22"/>
        </w:rPr>
        <w:t xml:space="preserve">[Add your remaining findings here, highest severity first.]</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Risk Analysis</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Likelihood × impact for each finding. A simple table mapping each finding number to a likelihood, an impact, and a resulting risk rating is enough — keep it consistent with your severity labels in Findings.</w:t>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gridCol w:w="100"/>
        <w:gridCol w:w="100"/>
        <w:gridCol w:w="100"/>
      </w:tblGrid>
      <w:tr>
        <w:trPr>
          <w:tblHeader/>
        </w:trPr>
        <w:tc>
          <w:tcPr>
            <w:tcW w:type="pct" w:w="16%"/>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Finding</w:t>
            </w:r>
          </w:p>
        </w:tc>
        <w:tc>
          <w:tcPr>
            <w:tcW w:type="pct" w:w="2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Likelihood</w:t>
            </w:r>
          </w:p>
        </w:tc>
        <w:tc>
          <w:tcPr>
            <w:tcW w:type="pct" w:w="2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Impact</w:t>
            </w:r>
          </w:p>
        </w:tc>
        <w:tc>
          <w:tcPr>
            <w:tcW w:type="pct" w:w="2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Risk Rating</w:t>
            </w:r>
          </w:p>
        </w:tc>
        <w:tc>
          <w:tcPr>
            <w:tcW w:type="pct" w:w="18%"/>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Priority</w:t>
            </w:r>
          </w:p>
        </w:tc>
      </w:tr>
      <w:tr>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001</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FFFFF" w:val="clea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bl>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Recommendations</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Prioritized — what to do Monday vs. what to plan for the next budget cycle. Tie each recommendation back to a finding number so the client can trace it.</w:t>
      </w:r>
    </w:p>
    <w:p>
      <w:pPr>
        <w:pStyle w:val="ListParagraph"/>
        <w:numPr>
          <w:ilvl w:val="0"/>
          <w:numId w:val="2"/>
        </w:numPr>
        <w:spacing w:after="80"/>
      </w:pPr>
      <w:r>
        <w:rPr>
          <w:rFonts w:ascii="Roboto" w:cs="Roboto" w:eastAsia="Roboto" w:hAnsi="Roboto"/>
          <w:b/>
          <w:bCs/>
          <w:color w:val="1A1A1A"/>
          <w:sz w:val="22"/>
          <w:szCs w:val="22"/>
        </w:rPr>
        <w:t xml:space="preserve">This week: </w:t>
      </w:r>
      <w:r>
        <w:rPr>
          <w:rFonts w:ascii="Roboto" w:cs="Roboto" w:eastAsia="Roboto" w:hAnsi="Roboto"/>
          <w:i/>
          <w:iCs/>
          <w:color w:val="595959"/>
          <w:sz w:val="22"/>
          <w:szCs w:val="22"/>
        </w:rPr>
        <w:t xml:space="preserve">[Highest-priority fix, tied to your top finding.]</w:t>
      </w:r>
    </w:p>
    <w:p>
      <w:pPr>
        <w:pStyle w:val="ListParagraph"/>
        <w:numPr>
          <w:ilvl w:val="0"/>
          <w:numId w:val="2"/>
        </w:numPr>
        <w:spacing w:after="80"/>
      </w:pPr>
      <w:r>
        <w:rPr>
          <w:rFonts w:ascii="Roboto" w:cs="Roboto" w:eastAsia="Roboto" w:hAnsi="Roboto"/>
          <w:b/>
          <w:bCs/>
          <w:color w:val="1A1A1A"/>
          <w:sz w:val="22"/>
          <w:szCs w:val="22"/>
        </w:rPr>
        <w:t xml:space="preserve">This quarter: </w:t>
      </w:r>
      <w:r>
        <w:rPr>
          <w:rFonts w:ascii="Roboto" w:cs="Roboto" w:eastAsia="Roboto" w:hAnsi="Roboto"/>
          <w:i/>
          <w:iCs/>
          <w:color w:val="595959"/>
          <w:sz w:val="22"/>
          <w:szCs w:val="22"/>
        </w:rPr>
        <w:t xml:space="preserve">[Medium-term measure.]</w:t>
      </w:r>
    </w:p>
    <w:p>
      <w:pPr>
        <w:pStyle w:val="ListParagraph"/>
        <w:numPr>
          <w:ilvl w:val="0"/>
          <w:numId w:val="2"/>
        </w:numPr>
        <w:spacing w:after="80"/>
      </w:pPr>
      <w:r>
        <w:rPr>
          <w:rFonts w:ascii="Roboto" w:cs="Roboto" w:eastAsia="Roboto" w:hAnsi="Roboto"/>
          <w:i/>
          <w:iCs/>
          <w:color w:val="595959"/>
          <w:sz w:val="22"/>
          <w:szCs w:val="22"/>
        </w:rPr>
        <w:t xml:space="preserve">[Add your prioritized recommendations here, each tied to a finding number.]</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Appendix</w:t>
      </w:r>
    </w:p>
    <w:p>
      <w:pPr>
        <w:spacing w:after="120" w:line="276"/>
      </w:pPr>
      <w:r>
        <w:rPr>
          <w:rFonts w:ascii="Roboto" w:cs="Roboto" w:eastAsia="Roboto" w:hAnsi="Roboto"/>
          <w:color w:val="1A1A1A"/>
          <w:sz w:val="22"/>
          <w:szCs w:val="22"/>
        </w:rPr>
        <w:t xml:space="preserve">Supporting evidence that would disrupt the flow of the main report: raw (scrubbed) tool output, additional screenshots, and your references.</w:t>
      </w:r>
    </w:p>
    <w:p>
      <w:pPr>
        <w:pStyle w:val="Heading2"/>
        <w:spacing w:after="120" w:before="240"/>
      </w:pPr>
      <w:r>
        <w:rPr>
          <w:rFonts w:ascii="Roboto Slab" w:cs="Roboto Slab" w:eastAsia="Roboto Slab" w:hAnsi="Roboto Slab"/>
          <w:b/>
          <w:bCs/>
          <w:color w:val="2E75B6"/>
          <w:sz w:val="24"/>
          <w:szCs w:val="24"/>
        </w:rPr>
        <w:t xml:space="preserve">A. Raw Tool Output</w:t>
      </w:r>
    </w:p>
    <w:p>
      <w:pPr>
        <w:spacing w:after="120"/>
      </w:pPr>
      <w:r>
        <w:rPr>
          <w:rFonts w:ascii="Roboto" w:cs="Roboto" w:eastAsia="Roboto" w:hAnsi="Roboto"/>
          <w:i/>
          <w:iCs/>
          <w:color w:val="595959"/>
          <w:sz w:val="22"/>
          <w:szCs w:val="22"/>
        </w:rPr>
        <w:t xml:space="preserve">[Paste complete, scrubbed scan output here — the long results you summarized in Findings.]</w:t>
      </w:r>
    </w:p>
    <w:p>
      <w:pPr>
        <w:pStyle w:val="Heading2"/>
        <w:spacing w:after="120" w:before="240"/>
      </w:pPr>
      <w:r>
        <w:rPr>
          <w:rFonts w:ascii="Roboto Slab" w:cs="Roboto Slab" w:eastAsia="Roboto Slab" w:hAnsi="Roboto Slab"/>
          <w:b/>
          <w:bCs/>
          <w:color w:val="2E75B6"/>
          <w:sz w:val="24"/>
          <w:szCs w:val="24"/>
        </w:rPr>
        <w:t xml:space="preserve">B. Additional Screenshots</w:t>
      </w:r>
    </w:p>
    <w:p>
      <w:pPr>
        <w:spacing w:after="120"/>
      </w:pPr>
      <w:r>
        <w:rPr>
          <w:rFonts w:ascii="Roboto" w:cs="Roboto" w:eastAsia="Roboto" w:hAnsi="Roboto"/>
          <w:i/>
          <w:iCs/>
          <w:color w:val="595959"/>
          <w:sz w:val="22"/>
          <w:szCs w:val="22"/>
        </w:rPr>
        <w:t xml:space="preserve">[Screenshots that add context but weren’t essential to the main narrative. kali-abc123 visible in each.]</w:t>
      </w:r>
    </w:p>
    <w:p>
      <w:pPr>
        <w:pStyle w:val="Heading2"/>
        <w:spacing w:after="120" w:before="240"/>
      </w:pPr>
      <w:r>
        <w:rPr>
          <w:rFonts w:ascii="Roboto Slab" w:cs="Roboto Slab" w:eastAsia="Roboto Slab" w:hAnsi="Roboto Slab"/>
          <w:b/>
          <w:bCs/>
          <w:color w:val="2E75B6"/>
          <w:sz w:val="24"/>
          <w:szCs w:val="24"/>
        </w:rPr>
        <w:t xml:space="preserve">C. References</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Minimum 10 references, properly formatted. CVE entries, vendor advisories, NIST publications, and tool documentation all count. Format consistently (APA is fine).</w:t>
      </w:r>
    </w:p>
    <w:p>
      <w:pPr>
        <w:pStyle w:val="ListParagraph"/>
        <w:numPr>
          <w:ilvl w:val="0"/>
          <w:numId w:val="3"/>
        </w:numPr>
        <w:spacing w:after="80"/>
      </w:pPr>
      <w:r>
        <w:rPr>
          <w:rFonts w:ascii="Roboto" w:cs="Roboto" w:eastAsia="Roboto" w:hAnsi="Roboto"/>
          <w:color w:val="1A1A1A"/>
          <w:sz w:val="22"/>
          <w:szCs w:val="22"/>
        </w:rPr>
        <w:t xml:space="preserve">[Reference 1]</w:t>
      </w:r>
    </w:p>
    <w:p>
      <w:pPr>
        <w:pStyle w:val="ListParagraph"/>
        <w:numPr>
          <w:ilvl w:val="0"/>
          <w:numId w:val="3"/>
        </w:numPr>
        <w:spacing w:after="80"/>
      </w:pPr>
      <w:r>
        <w:rPr>
          <w:rFonts w:ascii="Roboto" w:cs="Roboto" w:eastAsia="Roboto" w:hAnsi="Roboto"/>
          <w:color w:val="1A1A1A"/>
          <w:sz w:val="22"/>
          <w:szCs w:val="22"/>
        </w:rPr>
        <w:t xml:space="preserve">[Reference 2]</w:t>
      </w:r>
    </w:p>
    <w:p>
      <w:pPr>
        <w:pStyle w:val="ListParagraph"/>
        <w:numPr>
          <w:ilvl w:val="0"/>
          <w:numId w:val="3"/>
        </w:numPr>
        <w:spacing w:after="80"/>
      </w:pPr>
      <w:r>
        <w:rPr>
          <w:rFonts w:ascii="Roboto" w:cs="Roboto" w:eastAsia="Roboto" w:hAnsi="Roboto"/>
          <w:color w:val="1A1A1A"/>
          <w:sz w:val="22"/>
          <w:szCs w:val="22"/>
        </w:rPr>
        <w:t xml:space="preserve">[Reference 3]</w:t>
      </w:r>
    </w:p>
    <w:p>
      <w:pPr>
        <w:pStyle w:val="ListParagraph"/>
        <w:numPr>
          <w:ilvl w:val="0"/>
          <w:numId w:val="3"/>
        </w:numPr>
        <w:spacing w:after="80"/>
      </w:pPr>
      <w:r>
        <w:rPr>
          <w:rFonts w:ascii="Roboto" w:cs="Roboto" w:eastAsia="Roboto" w:hAnsi="Roboto"/>
          <w:color w:val="1A1A1A"/>
          <w:sz w:val="22"/>
          <w:szCs w:val="22"/>
        </w:rPr>
        <w:t xml:space="preserve">[Reference 4]</w:t>
      </w:r>
    </w:p>
    <w:p>
      <w:pPr>
        <w:pStyle w:val="ListParagraph"/>
        <w:numPr>
          <w:ilvl w:val="0"/>
          <w:numId w:val="3"/>
        </w:numPr>
        <w:spacing w:after="80"/>
      </w:pPr>
      <w:r>
        <w:rPr>
          <w:rFonts w:ascii="Roboto" w:cs="Roboto" w:eastAsia="Roboto" w:hAnsi="Roboto"/>
          <w:color w:val="1A1A1A"/>
          <w:sz w:val="22"/>
          <w:szCs w:val="22"/>
        </w:rPr>
        <w:t xml:space="preserve">[Reference 5]</w:t>
      </w:r>
    </w:p>
    <w:p>
      <w:pPr>
        <w:pStyle w:val="ListParagraph"/>
        <w:numPr>
          <w:ilvl w:val="0"/>
          <w:numId w:val="3"/>
        </w:numPr>
        <w:spacing w:after="80"/>
      </w:pPr>
      <w:r>
        <w:rPr>
          <w:rFonts w:ascii="Roboto" w:cs="Roboto" w:eastAsia="Roboto" w:hAnsi="Roboto"/>
          <w:color w:val="1A1A1A"/>
          <w:sz w:val="22"/>
          <w:szCs w:val="22"/>
        </w:rPr>
        <w:t xml:space="preserve">[Reference 6]</w:t>
      </w:r>
    </w:p>
    <w:p>
      <w:pPr>
        <w:pStyle w:val="ListParagraph"/>
        <w:numPr>
          <w:ilvl w:val="0"/>
          <w:numId w:val="3"/>
        </w:numPr>
        <w:spacing w:after="80"/>
      </w:pPr>
      <w:r>
        <w:rPr>
          <w:rFonts w:ascii="Roboto" w:cs="Roboto" w:eastAsia="Roboto" w:hAnsi="Roboto"/>
          <w:color w:val="1A1A1A"/>
          <w:sz w:val="22"/>
          <w:szCs w:val="22"/>
        </w:rPr>
        <w:t xml:space="preserve">[Reference 7]</w:t>
      </w:r>
    </w:p>
    <w:p>
      <w:pPr>
        <w:pStyle w:val="ListParagraph"/>
        <w:numPr>
          <w:ilvl w:val="0"/>
          <w:numId w:val="3"/>
        </w:numPr>
        <w:spacing w:after="80"/>
      </w:pPr>
      <w:r>
        <w:rPr>
          <w:rFonts w:ascii="Roboto" w:cs="Roboto" w:eastAsia="Roboto" w:hAnsi="Roboto"/>
          <w:color w:val="1A1A1A"/>
          <w:sz w:val="22"/>
          <w:szCs w:val="22"/>
        </w:rPr>
        <w:t xml:space="preserve">[Reference 8]</w:t>
      </w:r>
    </w:p>
    <w:p>
      <w:pPr>
        <w:pStyle w:val="ListParagraph"/>
        <w:numPr>
          <w:ilvl w:val="0"/>
          <w:numId w:val="3"/>
        </w:numPr>
        <w:spacing w:after="80"/>
      </w:pPr>
      <w:r>
        <w:rPr>
          <w:rFonts w:ascii="Roboto" w:cs="Roboto" w:eastAsia="Roboto" w:hAnsi="Roboto"/>
          <w:color w:val="1A1A1A"/>
          <w:sz w:val="22"/>
          <w:szCs w:val="22"/>
        </w:rPr>
        <w:t xml:space="preserve">[Reference 9]</w:t>
      </w:r>
    </w:p>
    <w:p>
      <w:pPr>
        <w:pStyle w:val="ListParagraph"/>
        <w:numPr>
          <w:ilvl w:val="0"/>
          <w:numId w:val="3"/>
        </w:numPr>
        <w:spacing w:after="80"/>
      </w:pPr>
      <w:r>
        <w:rPr>
          <w:rFonts w:ascii="Roboto" w:cs="Roboto" w:eastAsia="Roboto" w:hAnsi="Roboto"/>
          <w:color w:val="1A1A1A"/>
          <w:sz w:val="22"/>
          <w:szCs w:val="22"/>
        </w:rPr>
        <w:t xml:space="preserve">[Reference 10]</w:t>
      </w:r>
    </w:p>
    <w:sectPr>
      <w:headerReference w:type="default" r:id="rId7"/>
      <w:footerReference w:type="default" r:id="rId8"/>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9" w:sz="4"/>
      </w:pBdr>
      <w:tabs>
        <w:tab w:val="right" w:pos="9360"/>
      </w:tabs>
    </w:pPr>
    <w:r>
      <w:rPr>
        <w:rFonts w:ascii="Roboto" w:cs="Roboto" w:eastAsia="Roboto" w:hAnsi="Roboto"/>
        <w:color w:val="595959"/>
        <w:sz w:val="15"/>
        <w:szCs w:val="15"/>
      </w:rPr>
      <w:t xml:space="preserve">Engagement Packet</w:t>
    </w:r>
    <w:r>
      <w:rPr>
        <w:rFonts w:ascii="Roboto" w:cs="Roboto" w:eastAsia="Roboto" w:hAnsi="Roboto"/>
      </w:rPr>
      <w:t xml:space="preserve">	</w:t>
    </w:r>
    <w:r>
      <w:rPr>
        <w:rFonts w:ascii="Roboto" w:cs="Roboto" w:eastAsia="Roboto" w:hAnsi="Roboto"/>
        <w:color w:val="595959"/>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pBdr>
      <w:tabs>
        <w:tab w:val="right" w:pos="9360"/>
      </w:tabs>
    </w:pPr>
    <w:r>
      <w:rPr>
        <w:rFonts w:ascii="Roboto" w:cs="Roboto" w:eastAsia="Roboto" w:hAnsi="Roboto"/>
        <w:color w:val="595959"/>
        <w:sz w:val="15"/>
        <w:szCs w:val="15"/>
      </w:rPr>
      <w:t xml:space="preserve">NEXUS SECURITY — CONFIDENTIAL</w:t>
    </w:r>
    <w:r>
      <w:rPr>
        <w:rFonts w:ascii="Roboto" w:cs="Roboto" w:eastAsia="Roboto" w:hAnsi="Roboto"/>
      </w:rPr>
      <w:t xml:space="preserve">	</w:t>
    </w:r>
    <w:r>
      <w:rPr>
        <w:rFonts w:ascii="Roboto" w:cs="Roboto" w:eastAsia="Roboto" w:hAnsi="Roboto"/>
        <w:color w:val="595959"/>
        <w:sz w:val="15"/>
        <w:szCs w:val="15"/>
      </w:rPr>
      <w:t xml:space="preserve">Internal — Password Audit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Roboto" w:cs="Roboto" w:eastAsia="Roboto" w:hAnsi="Roboto"/>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Roboto Slab" w:cs="Roboto Slab" w:eastAsia="Roboto Slab" w:hAnsi="Roboto Slab"/>
      <w:b/>
      <w:bCs/>
      <w:color w:val="1F4E79"/>
      <w:sz w:val="30"/>
      <w:szCs w:val="30"/>
    </w:rPr>
  </w:style>
  <w:style w:type="paragraph" w:styleId="Heading2">
    <w:name w:val="Heading 2"/>
    <w:basedOn w:val="Normal"/>
    <w:next w:val="Normal"/>
    <w:qFormat/>
    <w:pPr>
      <w:spacing w:after="120" w:before="240"/>
      <w:outlineLvl w:val="1"/>
    </w:pPr>
    <w:rPr>
      <w:rFonts w:ascii="Roboto Slab" w:cs="Roboto Slab" w:eastAsia="Roboto Slab" w:hAnsi="Roboto Slab"/>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c6792b11216b81b8cf7c76ce1687d6cc4584213.undefined"/><Relationship Id="rId10" Type="http://schemas.openxmlformats.org/officeDocument/2006/relationships/image" Target="media/e377e113b47a389ef8a6516c805f06b647831f15.undefined"/><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Engagement Packet</dc:title>
  <dc:creator>NEXUS Security Consulting</dc:creator>
  <dc:description>IS-3513 Engagement Packet — Module 4 — Password Security Assessment</dc:description>
  <cp:lastModifiedBy>Un-named</cp:lastModifiedBy>
  <cp:revision>1</cp:revision>
  <dcterms:created xsi:type="dcterms:W3CDTF">2026-05-29T17:00:56.309Z</dcterms:created>
  <dcterms:modified xsi:type="dcterms:W3CDTF">2026-05-29T17:00:56.309Z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c123">
    <vt:lpwstr>abc123</vt:lpwstr>
  </property>
</Properties>
</file>