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customXmlProperties+xml" PartName="/customXml/itemProps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257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4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NEXUS SECURITY CONSULTING</w:t>
      </w:r>
    </w:p>
    <w:p>
      <w:pPr>
        <w:spacing w:after="320"/>
        <w:jc w:val="center"/>
      </w:pPr>
      <w:r>
        <w:rPr>
          <w:sz w:val="4"/>
          <w:szCs w:val="4"/>
        </w:rPr>
        <w:t xml:space="preserve"/>
      </w:r>
    </w:p>
    <w:tbl>
      <w:tblPr>
        <w:tblW w:type="pct" w:w="6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C00000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2"/>
                <w:szCs w:val="22"/>
              </w:rPr>
              <w:t xml:space="preserve">CONFIDENTIAL</w:t>
            </w:r>
          </w:p>
        </w:tc>
      </w:tr>
    </w:tbl>
    <w:p>
      <w:pPr>
        <w:spacing w:after="520"/>
      </w:pPr>
      <w:r>
        <w:t xml:space="preserve"/>
      </w:r>
    </w:p>
    <w:p>
      <w:pPr>
        <w:spacing w:after="8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4"/>
          <w:szCs w:val="44"/>
        </w:rPr>
        <w:t xml:space="preserve">ENGAGEMENT PACKET</w:t>
      </w:r>
    </w:p>
    <w:p>
      <w:pPr>
        <w:spacing w:after="40"/>
        <w:jc w:val="center"/>
      </w:pPr>
      <w:fldSimple w:instr="DOCPROPERTY Title \* MERGEFORMAT"/>
    </w:p>
    <w:p>
      <w:pPr>
        <w:spacing w:after="360"/>
        <w:jc w:val="center"/>
      </w:pPr>
      <w:r>
        <w:rPr>
          <w:rFonts w:ascii="Roboto" w:cs="Roboto" w:eastAsia="Roboto" w:hAnsi="Roboto"/>
          <w:color w:val="595959"/>
          <w:sz w:val="24"/>
          <w:szCs w:val="24"/>
        </w:rPr>
        <w:t xml:space="preserve">Module 5 — Risk &amp; Vulnerability Assessment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F172A" w:val="clear"/>
            <w:tcMar>
              <w:top w:type="dxa" w:w="30"/>
              <w:bottom w:type="dxa" w:w="3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619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6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Prepared for LoneStar DevOps</w:t>
      </w:r>
    </w:p>
    <w:p>
      <w:pPr>
        <w:spacing w:after="360"/>
      </w:pPr>
      <w:r>
        <w:t xml:space="preserve"/>
      </w:r>
    </w:p>
    <w:tbl>
      <w:tblPr>
        <w:tblW w:type="pct" w:w="70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5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Analyst / Student</w:t>
            </w:r>
          </w:p>
        </w:tc>
        <w:tc>
          <w:tcPr>
            <w:tcW w:type="pct" w:w="65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Client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LoneStar DevOps, LLC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abc123 (VM ID)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bc123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</w:tbl>
    <w:p>
      <w:pPr>
        <w:spacing w:after="120"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/>
            <w:instrText xml:space="preserve">TOC \h \o "1-2"</w:instrText>
            <w:fldChar w:fldCharType="separate"/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A. NEXUS Timesheet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3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B. Internal Runbook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C. Analyst Reflection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1. Timesheet Self-Audit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2. Professional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3. AI Methodology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Executive Summary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Methodology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Findings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Risk Analysis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Recommendations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Appendix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A. Raw Tool Output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B. Additional Screenshots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C. References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Roboto Slab" w:cs="Roboto Slab" w:eastAsia="Roboto Slab" w:hAnsi="Roboto Slab"/>
          <w:b/>
          <w:bCs/>
          <w:color w:val="1F4E79"/>
          <w:sz w:val="48"/>
          <w:szCs w:val="48"/>
        </w:rPr>
        <w:t xml:space="preserve">PART I</w:t>
      </w:r>
    </w:p>
    <w:p>
      <w:pPr>
        <w:pBdr>
          <w:bottom w:val="single" w:color="1F4E79" w:sz="12"/>
        </w:pBdr>
        <w:spacing w:after="6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The Internal Packet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A. NEXUS Timesheet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Week / Unit</w:t>
            </w:r>
          </w:p>
        </w:tc>
        <w:tc>
          <w:tcPr>
            <w:tcW w:type="pct" w:w="5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pct" w:w="1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Hours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1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 work — what you did in Unit 1]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2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2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[Training+ work — what you did in Unit 2]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3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3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[Engagement fieldwork — what you did for the client]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Billable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2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Internal [ ]  |  Billable [ ]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200" w:before="60"/>
      </w:pPr>
      <w:r>
        <w:rPr>
          <w:rFonts w:ascii="Roboto" w:cs="Roboto" w:eastAsia="Roboto" w:hAnsi="Roboto"/>
          <w:i/>
          <w:iCs/>
          <w:color w:val="595959"/>
          <w:sz w:val="20"/>
          <w:szCs w:val="20"/>
        </w:rPr>
        <w:t xml:space="preserve">Log one line per work session, not one per unit. Need more rows? Right-click inside the last row and choose Insert → Insert Rows Below — same on Windows and Mac. Delete any rows you do not use.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B. Internal Runbook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shd w:fill="F5F7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[TOOL OR STEP NAME]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------------------------------------------------------------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Purpose: [what this tool/step accomplishes and why]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Options / flags used: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Exact command as run: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[the full command, copy-pasted from your terminal]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Sample output excerpt: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[paste the relevant lines of output]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Next steps / interpretation: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[what you did with this result]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Pitfalls observed: [anything that tripped you up and how you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got past it]</w:t>
            </w:r>
          </w:p>
        </w:tc>
      </w:tr>
    </w:tbl>
    <w:p>
      <w:pPr>
        <w:spacing w:after="120" w:line="276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 here — pair each runbook entry with the terminal output that produced it, kali-abc123 visible in the prompt.]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C. Analyst Reflection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1. Timesheet Self-Audit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timesheet self-audit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2. Professional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professional reflection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3. AI Methodology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AI methodology reflection here — or a truthful N/A.]</w:t>
      </w:r>
    </w:p>
    <w:p>
      <w:r>
        <w:br w:type="page"/>
      </w:r>
    </w:p>
    <w:p>
      <w:pPr>
        <w:spacing w:after="40" w:before="240"/>
        <w:jc w:val="center"/>
      </w:pPr>
      <w:r>
        <w:rPr>
          <w:rFonts w:ascii="Roboto" w:cs="Roboto" w:eastAsia="Roboto" w:hAnsi="Roboto"/>
          <w:b/>
          <w:bCs/>
          <w:color w:val="595959"/>
          <w:spacing w:val="30"/>
          <w:sz w:val="18"/>
          <w:szCs w:val="18"/>
        </w:rPr>
        <w:t xml:space="preserve">PART II — CLIENT DELIVERABLE</w:t>
      </w:r>
    </w:p>
    <w:p>
      <w:pPr>
        <w:spacing w:after="16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905000" cy="101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rPr>
          <w:rFonts w:ascii="Roboto Slab" w:cs="Roboto Slab" w:eastAsia="Roboto Slab" w:hAnsi="Roboto Slab"/>
          <w:b/>
          <w:bCs/>
          <w:color w:val="0F172A"/>
          <w:sz w:val="30"/>
          <w:szCs w:val="30"/>
        </w:rPr>
        <w:t xml:space="preserve">LONESTAR DEVOPS</w:t>
      </w:r>
    </w:p>
    <w:tbl>
      <w:tblPr>
        <w:tblW w:type="pct" w:w="5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F172A" w:val="clear"/>
            <w:tcMar>
              <w:top w:type="dxa" w:w="24"/>
              <w:bottom w:type="dxa" w:w="24"/>
            </w:tcMar>
          </w:tcPr>
          <w:p>
            <w:r>
              <w:rPr>
                <w:sz w:val="6"/>
                <w:szCs w:val="6"/>
              </w:rPr>
              <w:t xml:space="preserve"/>
            </w:r>
          </w:p>
        </w:tc>
      </w:tr>
    </w:tbl>
    <w:p>
      <w:pPr>
        <w:spacing w:after="420"/>
      </w:pPr>
      <w:r>
        <w:t xml:space="preserve"/>
      </w:r>
    </w:p>
    <w:p>
      <w:pPr>
        <w:spacing w:after="6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0"/>
          <w:szCs w:val="40"/>
        </w:rPr>
        <w:t xml:space="preserve">Risk &amp; Vulnerability Assessment</w:t>
      </w:r>
    </w:p>
    <w:p>
      <w:pPr>
        <w:spacing w:after="40"/>
        <w:jc w:val="center"/>
      </w:pPr>
      <w:r>
        <w:rPr>
          <w:rFonts w:ascii="Roboto" w:cs="Roboto" w:eastAsia="Roboto" w:hAnsi="Roboto"/>
          <w:color w:val="595959"/>
          <w:sz w:val="24"/>
          <w:szCs w:val="24"/>
        </w:rPr>
        <w:t xml:space="preserve">Security Engagement Report</w:t>
      </w:r>
    </w:p>
    <w:p>
      <w:pPr>
        <w:spacing w:after="48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Module 5 — Risk &amp; Vulnerability Assessment</w:t>
      </w:r>
    </w:p>
    <w:p>
      <w:pPr>
        <w:spacing w:after="360"/>
      </w:pPr>
      <w:r>
        <w:t xml:space="preserve"/>
      </w:r>
    </w:p>
    <w:tbl>
      <w:tblPr>
        <w:tblW w:type="pct" w:w="76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4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for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LoneStar DevOps, LLC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by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NEXUS Security Consulting</w:t>
            </w:r>
            <w:r>
              <w:br/>
            </w:r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C00000"/>
                <w:sz w:val="20"/>
                <w:szCs w:val="20"/>
              </w:rPr>
              <w:t xml:space="preserve">CONFIDENTIAL — Client Use Only</w:t>
            </w:r>
          </w:p>
        </w:tc>
      </w:tr>
    </w:tbl>
    <w:p>
      <w:pPr>
        <w:spacing w:after="200"/>
      </w:pPr>
      <w:r>
        <w:t xml:space="preserve"/>
      </w:r>
    </w:p>
    <w:p>
      <w:pPr>
        <w:spacing w:before="240"/>
        <w:jc w:val="center"/>
      </w:pPr>
      <w:r>
        <w:rPr>
          <w:rFonts w:ascii="Roboto" w:cs="Roboto" w:eastAsia="Roboto" w:hAnsi="Roboto"/>
          <w:color w:val="595959"/>
          <w:sz w:val="16"/>
          <w:szCs w:val="16"/>
        </w:rPr>
        <w:t xml:space="preserve">Prepared by NEXUS Security Consulting</w:t>
      </w:r>
    </w:p>
    <w:p>
      <w:r>
        <w:br w:type="page"/>
      </w:r>
    </w:p>
    <w:p>
      <w:pPr>
        <w:pBdr>
          <w:bottom w:val="single" w:color="2E75B6" w:sz="12"/>
        </w:pBdr>
        <w:spacing w:after="60" w:before="120"/>
      </w:pPr>
      <w:r>
        <w:rPr>
          <w:rFonts w:ascii="Roboto Slab" w:cs="Roboto Slab" w:eastAsia="Roboto Slab" w:hAnsi="Roboto Slab"/>
          <w:b/>
          <w:bCs/>
          <w:color w:val="2E75B6"/>
          <w:sz w:val="32"/>
          <w:szCs w:val="32"/>
        </w:rPr>
        <w:t xml:space="preserve">The Client Deliverable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Executive Summary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executive summary here — one page maximum.]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Methodology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methodology overview here.]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Findings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D9D9D9" w:sz="4"/>
              <w:left w:val="single" w:color="D68910" w:sz="24"/>
              <w:bottom w:val="single" w:color="D9D9D9" w:sz="4"/>
              <w:right w:val="single" w:color="D9D9D9" w:sz="4"/>
            </w:tcBorders>
            <w:shd w:fill="F5F7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Roboto Slab" w:cs="Roboto Slab" w:eastAsia="Roboto Slab" w:hAnsi="Roboto Slab"/>
                <w:b/>
                <w:bCs/>
                <w:color w:val="1F4E79"/>
                <w:sz w:val="22"/>
                <w:szCs w:val="22"/>
              </w:rPr>
              <w:t xml:space="preserve">FINDING 001 — [Title of your highest-severity finding]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b/>
                <w:bCs/>
                <w:color w:val="1A1A1A"/>
                <w:sz w:val="20"/>
                <w:szCs w:val="20"/>
              </w:rPr>
              <w:t xml:space="preserve">Severity: 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[Critical / High / Medium / Low]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    Affected: [host / system / account]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Description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the issue is, in client-readable terms.]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Evidence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i/>
                <w:iCs/>
                <w:color w:val="595959"/>
                <w:sz w:val="21"/>
                <w:szCs w:val="21"/>
              </w:rPr>
              <w:t xml:space="preserve">[Reference the screenshot/output that proves it; full output in Appendix.]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Impact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it means for the business if left unaddressed.]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Recommendation</w:t>
            </w:r>
          </w:p>
          <w:p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[The specific fix, and any longer-term measure.]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remaining findings here, highest severity first.]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Risk Analysis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Risk Rating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001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[#]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Recommendations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week: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[Highest-priority fix, tied to your top finding.]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quarter: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[Medium-term measure.]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prioritized recommendations here, each tied to a finding number.]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Appendix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A. Raw Tool Output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[Paste complete, scrubbed scan output here — the long results you summarized in Findings.]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B. Additional Screenshots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[Screenshots that add context but weren’t essential to the main narrative. kali-abc123 visible in each.]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C. References</w:t>
      </w:r>
    </w:p>
    <w:sdt>
      <w:sdtPr>
        <w:alias w:val="Bibliography"/>
      </w:sdtPr>
      <w:sdtContent>
        <w:p>
          <w:r>
            <w:fldChar w:fldCharType="begin"/>
            <w:instrText xml:space="preserve">BIBLIOGRAPHY \l 1033 </w:instrText>
            <w:fldChar w:fldCharType="separate"/>
          </w:r>
        </w:p>
        <w:p>
          <w:pPr>
            <w:spacing w:after="120"/>
            <w:ind w:left="480" w:hanging="48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Conklin, W. A., &amp; White, G. (2022). Principles of Computer Security: CompTIA Security+ and Beyond (Sixth ed.). McGraw-Hill Education.</w:t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Engagement Packet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NEXUS SECURITY — CONFIDENTIAL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LoneStar DevOps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Roboto Slab" w:cs="Roboto Slab" w:eastAsia="Roboto Slab" w:hAnsi="Roboto Slab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Roboto Slab" w:cs="Roboto Slab" w:eastAsia="Roboto Slab" w:hAnsi="Roboto Slab"/>
      <w:b/>
      <w:bCs/>
      <w:color w:val="2E75B6"/>
      <w:sz w:val="24"/>
      <w:szCs w:val="24"/>
    </w:rPr>
  </w:style>
  <w:style w:type="paragraph" w:styleId="Caption">
    <w:name w:val="caption"/>
    <w:basedOn w:val="Normal"/>
    <w:next w:val="Normal"/>
    <w:uiPriority w:val="35"/>
    <w:qFormat/>
    <w:pPr>
      <w:spacing w:before="120" w:after="200"/>
    </w:pPr>
    <w:rPr>
      <w:i/>
      <w:iCs/>
      <w:color w:val="44546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c6792b11216b81b8cf7c76ce1687d6cc4584213.png"/><Relationship Id="rId10" Type="http://schemas.openxmlformats.org/officeDocument/2006/relationships/image" Target="media/d7d67a46fd31d53cd623bbab4d47d75aa448f15c.png"/><Relationship Id="rId11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>
  <b:Source>
    <b:Tag>Con21</b:Tag>
    <b:SourceType>Book</b:SourceType>
    <b:Guid>{7B3C1D42-9A54-4E8B-B1F6-2C0D5E7A9F31}</b:Guid>
    <b:Author>
      <b:Author>
        <b:NameList>
          <b:Person>
            <b:Last>Conklin</b:Last>
            <b:First>Wm.</b:First>
            <b:Middle>Arthur</b:Middle>
          </b:Person>
          <b:Person>
            <b:Last>White</b:Last>
            <b:First>Greg</b:First>
          </b:Person>
        </b:NameList>
      </b:Author>
    </b:Author>
    <b:Title>Principles of Computer Security: CompTIA Security+ and Beyond</b:Title>
    <b:Edition>Sixth</b:Edition>
    <b:Publisher>McGraw-Hill Education</b:Publisher>
    <b:Year>2022</b:Year>
    <b:RefOrder>1</b:RefOrder>
  </b:Source>
</b:Sources>
</file>

<file path=customXml/itemProps1.xml><?xml version="1.0" encoding="utf-8"?>
<ds:datastoreItem xmlns:ds="http://schemas.openxmlformats.org/officeDocument/2006/customXml" ds:itemID="{A1B2C3D4-5555-4E8B-9F05-2C0D5E7A9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Engagement Packet</dc:title>
  <dc:creator>NEXUS Security Consulting</dc:creator>
  <dc:description>IS-3513 Engagement Packet — Module 5 — Risk &amp; Vulnerability Assessment</dc:description>
  <cp:lastModifiedBy>Un-named</cp:lastModifiedBy>
  <cp:revision>1</cp:revision>
  <dcterms:created xsi:type="dcterms:W3CDTF">2026-05-29T17:00:56.653Z</dcterms:created>
  <dcterms:modified xsi:type="dcterms:W3CDTF">2026-05-29T17:00:56.653Z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c123">
    <vt:lpwstr>abc123</vt:lpwstr>
  </property>
</Properties>
</file>