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customXmlProperties+xml" PartName="/customXml/itemProps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12573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spacing w:after="40"/>
        <w:jc w:val="center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NEXUS SECURITY CONSULTING</w:t>
      </w:r>
    </w:p>
    <w:p>
      <w:pPr>
        <w:spacing w:after="320"/>
        <w:jc w:val="center"/>
      </w:pPr>
      <w:r>
        <w:rPr>
          <w:sz w:val="4"/>
          <w:szCs w:val="4"/>
        </w:rPr>
        <w:t xml:space="preserve"/>
      </w:r>
    </w:p>
    <w:tbl>
      <w:tblPr>
        <w:tblW w:type="pct" w:w="6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C00000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22"/>
                <w:szCs w:val="22"/>
              </w:rPr>
              <w:t xml:space="preserve">CONFIDENTIAL</w:t>
            </w:r>
          </w:p>
        </w:tc>
      </w:tr>
    </w:tbl>
    <w:p>
      <w:pPr>
        <w:spacing w:after="520"/>
      </w:pPr>
      <w:r>
        <w:t xml:space="preserve"/>
      </w:r>
    </w:p>
    <w:p>
      <w:pPr>
        <w:spacing w:after="80"/>
        <w:jc w:val="center"/>
      </w:pPr>
      <w:r>
        <w:rPr>
          <w:rFonts w:ascii="Roboto Slab" w:cs="Roboto Slab" w:eastAsia="Roboto Slab" w:hAnsi="Roboto Slab"/>
          <w:b/>
          <w:bCs/>
          <w:color w:val="1F4E79"/>
          <w:sz w:val="44"/>
          <w:szCs w:val="44"/>
        </w:rPr>
        <w:t xml:space="preserve">ENGAGEMENT PACKET</w:t>
      </w:r>
    </w:p>
    <w:p>
      <w:pPr>
        <w:spacing w:after="40"/>
        <w:jc w:val="center"/>
      </w:pPr>
      <w:fldSimple w:instr="DOCPROPERTY Title \* MERGEFORMAT"/>
    </w:p>
    <w:p>
      <w:pPr>
        <w:spacing w:after="360"/>
        <w:jc w:val="center"/>
      </w:pPr>
      <w:r>
        <w:rPr>
          <w:rFonts w:ascii="Roboto" w:cs="Roboto" w:eastAsia="Roboto" w:hAnsi="Roboto"/>
          <w:color w:val="595959"/>
          <w:sz w:val="24"/>
          <w:szCs w:val="24"/>
        </w:rPr>
        <w:t xml:space="preserve">Module 1 — Reconnaissance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F4E79" w:val="clear"/>
            <w:tcMar>
              <w:top w:type="dxa" w:w="30"/>
              <w:bottom w:type="dxa" w:w="3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360"/>
      </w:pPr>
      <w:r>
        <w:t xml:space="preserve"/>
      </w:r>
    </w:p>
    <w:tbl>
      <w:tblPr>
        <w:tblW w:type="pct" w:w="70%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pct" w:w="35%"/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Analyst / Student</w:t>
            </w:r>
          </w:p>
        </w:tc>
        <w:tc>
          <w:tcPr>
            <w:tcW w:type="pct" w:w="65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fldSimple w:instr="DOCPROPERTY Author \* MERGEFORMAT"/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abc123 (VM ID)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fldSimple w:instr="DOCPROPERTY abc123 \* MERGEFORMAT"/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fldSimple w:instr="DATE \@ &quot;MMMM d, yyyy&quot;"/>
          </w:p>
        </w:tc>
      </w:tr>
    </w:tbl>
    <w:p>
      <w:pPr>
        <w:spacing w:after="12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Roboto Slab" w:cs="Roboto Slab" w:eastAsia="Roboto Slab" w:hAnsi="Roboto Slab"/>
          <w:b/>
          <w:bCs/>
          <w:color w:val="1F4E79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/>
            <w:instrText xml:space="preserve">TOC \h \o "1-2"</w:instrText>
            <w:fldChar w:fldCharType="separate"/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A. NEXUS Timesheet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3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B. Internal Runbook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4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C. Analyst Reflection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4</w:t>
          </w:r>
        </w:p>
        <w:p>
          <w:pPr>
            <w:tabs>
              <w:tab w:val="right" w:leader="dot" w:pos="9360"/>
            </w:tabs>
            <w:spacing w:after="40"/>
            <w:ind w:left="24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1. Timesheet Self-Audit</w:t>
          </w:r>
          <w:r>
            <w:rPr>
              <w:rFonts w:ascii="Roboto" w:cs="Roboto" w:eastAsia="Roboto" w:hAnsi="Roboto"/>
              <w:color w:val="1A1A1A"/>
              <w:sz w:val="22"/>
              <w:szCs w:val="22"/>
            </w:rPr>
            <w:tab/>
            <w:t>4</w:t>
          </w:r>
        </w:p>
        <w:p>
          <w:pPr>
            <w:tabs>
              <w:tab w:val="right" w:leader="dot" w:pos="9360"/>
            </w:tabs>
            <w:spacing w:after="40"/>
            <w:ind w:left="24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2. Professional Reflection</w:t>
          </w:r>
          <w:r>
            <w:rPr>
              <w:rFonts w:ascii="Roboto" w:cs="Roboto" w:eastAsia="Roboto" w:hAnsi="Roboto"/>
              <w:color w:val="1A1A1A"/>
              <w:sz w:val="22"/>
              <w:szCs w:val="22"/>
            </w:rPr>
            <w:tab/>
            <w:t>4</w:t>
          </w:r>
        </w:p>
        <w:p>
          <w:pPr>
            <w:tabs>
              <w:tab w:val="right" w:leader="dot" w:pos="9360"/>
            </w:tabs>
            <w:spacing w:after="40"/>
            <w:ind w:left="24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3. AI Methodology Reflection</w:t>
          </w:r>
          <w:r>
            <w:rPr>
              <w:rFonts w:ascii="Roboto" w:cs="Roboto" w:eastAsia="Roboto" w:hAnsi="Roboto"/>
              <w:color w:val="1A1A1A"/>
              <w:sz w:val="22"/>
              <w:szCs w:val="22"/>
            </w:rPr>
            <w:tab/>
            <w:t>4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Executive Summary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6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Methodology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6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Findings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6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Risk Analysis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6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Recommendations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7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>Appendix</w:t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7</w:t>
          </w:r>
        </w:p>
        <w:p>
          <w:pPr>
            <w:tabs>
              <w:tab w:val="right" w:leader="dot" w:pos="9360"/>
            </w:tabs>
            <w:spacing w:after="40"/>
            <w:ind w:left="24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A. Raw Tool Output</w:t>
          </w:r>
          <w:r>
            <w:rPr>
              <w:rFonts w:ascii="Roboto" w:cs="Roboto" w:eastAsia="Roboto" w:hAnsi="Roboto"/>
              <w:color w:val="1A1A1A"/>
              <w:sz w:val="22"/>
              <w:szCs w:val="22"/>
            </w:rPr>
            <w:tab/>
            <w:t>7</w:t>
          </w:r>
        </w:p>
        <w:p>
          <w:pPr>
            <w:tabs>
              <w:tab w:val="right" w:leader="dot" w:pos="9360"/>
            </w:tabs>
            <w:spacing w:after="40"/>
            <w:ind w:left="24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B. Additional Screenshots</w:t>
          </w:r>
          <w:r>
            <w:rPr>
              <w:rFonts w:ascii="Roboto" w:cs="Roboto" w:eastAsia="Roboto" w:hAnsi="Roboto"/>
              <w:color w:val="1A1A1A"/>
              <w:sz w:val="22"/>
              <w:szCs w:val="22"/>
            </w:rPr>
            <w:tab/>
            <w:t>7</w:t>
          </w:r>
        </w:p>
        <w:p>
          <w:pPr>
            <w:tabs>
              <w:tab w:val="right" w:leader="dot" w:pos="9360"/>
            </w:tabs>
            <w:spacing w:after="40"/>
            <w:ind w:left="24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Figure 2 — WRONG. This caption is styled Heading 2, so Word now believes it is a section. Find it in the Navigation Pane, then update the Table of Contents and find it there too. This single mistake is what wrecked most Table of Contents last term.</w:t>
          </w:r>
          <w:r>
            <w:rPr>
              <w:rFonts w:ascii="Roboto" w:cs="Roboto" w:eastAsia="Roboto" w:hAnsi="Roboto"/>
              <w:color w:val="1A1A1A"/>
              <w:sz w:val="22"/>
              <w:szCs w:val="22"/>
            </w:rPr>
            <w:tab/>
            <w:t>7</w:t>
          </w:r>
        </w:p>
        <w:p>
          <w:pPr>
            <w:tabs>
              <w:tab w:val="right" w:leader="dot" w:pos="9360"/>
            </w:tabs>
            <w:spacing w:after="60"/>
            <w:ind w:left="0"/>
          </w:pP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 xml:space="preserve"/>
          </w:r>
          <w:r>
            <w:rPr>
              <w:rFonts w:ascii="Roboto" w:cs="Roboto" w:eastAsia="Roboto" w:hAnsi="Roboto"/>
              <w:b/>
              <w:bCs/>
              <w:color w:val="1A1A1A"/>
              <w:sz w:val="22"/>
              <w:szCs w:val="22"/>
            </w:rPr>
            <w:tab/>
            <w:t>7</w:t>
          </w:r>
        </w:p>
        <w:p>
          <w:pPr>
            <w:tabs>
              <w:tab w:val="right" w:leader="dot" w:pos="9360"/>
            </w:tabs>
            <w:spacing w:after="40"/>
            <w:ind w:left="24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C. References</w:t>
          </w:r>
          <w:r>
            <w:rPr>
              <w:rFonts w:ascii="Roboto" w:cs="Roboto" w:eastAsia="Roboto" w:hAnsi="Roboto"/>
              <w:color w:val="1A1A1A"/>
              <w:sz w:val="22"/>
              <w:szCs w:val="22"/>
            </w:rPr>
            <w:tab/>
            <w:t>8</w:t>
          </w:r>
        </w:p>
        <w:p>
          <w:r>
            <w:fldChar w:fldCharType="end"/>
          </w:r>
        </w:p>
      </w:sdtContent>
    </w:sdt>
    <w:p>
      <w:pPr>
        <w:sectPr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Roboto Slab" w:cs="Roboto Slab" w:eastAsia="Roboto Slab" w:hAnsi="Roboto Slab"/>
          <w:b/>
          <w:bCs/>
          <w:color w:val="1F4E79"/>
          <w:sz w:val="48"/>
          <w:szCs w:val="48"/>
        </w:rPr>
        <w:t xml:space="preserve">PART I</w:t>
      </w:r>
    </w:p>
    <w:p>
      <w:pPr>
        <w:pBdr>
          <w:bottom w:val="single" w:color="1F4E79" w:sz="12"/>
        </w:pBdr>
        <w:spacing w:after="60"/>
      </w:pPr>
      <w:r>
        <w:rPr>
          <w:rFonts w:ascii="Roboto Slab" w:cs="Roboto Slab" w:eastAsia="Roboto Slab" w:hAnsi="Roboto Slab"/>
          <w:b/>
          <w:bCs/>
          <w:color w:val="1F4E79"/>
          <w:sz w:val="32"/>
          <w:szCs w:val="32"/>
        </w:rPr>
        <w:t xml:space="preserve">The Internal Packet</w:t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A. NEXUS Timesheet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Week / Unit</w:t>
            </w:r>
          </w:p>
        </w:tc>
        <w:tc>
          <w:tcPr>
            <w:tcW w:type="pct" w:w="52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pct" w:w="18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12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Week 1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Unit 1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[Training work — what you did in Unit 1]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Internal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Week 2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Unit 2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[Training+ work — what you did in Unit 2]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Internal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Week 3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Unit 3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[Engagement fieldwork — what you did for the client]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Billable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  <w:r>
              <w:br/>
            </w: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gridSpan w:val="2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Internal [ ]  |  Billable [ ]</w:t>
            </w:r>
          </w:p>
        </w:tc>
        <w:tc>
          <w:tcPr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200" w:before="60"/>
      </w:pPr>
      <w:r>
        <w:rPr>
          <w:rFonts w:ascii="Roboto" w:cs="Roboto" w:eastAsia="Roboto" w:hAnsi="Roboto"/>
          <w:i/>
          <w:iCs/>
          <w:color w:val="595959"/>
          <w:sz w:val="20"/>
          <w:szCs w:val="20"/>
        </w:rPr>
        <w:t xml:space="preserve">Log one line per work session, not one per unit. Need more rows? Right-click inside the last row and choose Insert → Insert Rows Below — same on Windows and Mac. Delete any rows you do not use.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B. Internal Runbook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[TOOL OR STEP NAME]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------------------------------------------------------------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/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Purpose: [what this tool/step accomplishes and why]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/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Options / flags used: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  [flag]   [what it does]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  [flag]   [what it does]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/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Exact command as run: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  [the full command, copy-pasted from your terminal]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/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Sample output excerpt: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  [paste the relevant lines of output]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/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Next steps / interpretation: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  [what you did with this result]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/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Pitfalls observed: [anything that tripped you up and how you</w:t>
            </w:r>
            <w:r>
              <w:br/>
            </w:r>
            <w:r>
              <w:rPr>
                <w:rFonts w:ascii="Roboto Mono" w:cs="Roboto Mono" w:eastAsia="Roboto Mono" w:hAnsi="Roboto Mono"/>
                <w:color w:val="1A1A1A"/>
                <w:sz w:val="17"/>
                <w:szCs w:val="17"/>
              </w:rPr>
              <w:t xml:space="preserve">got past it]</w:t>
            </w:r>
          </w:p>
        </w:tc>
      </w:tr>
    </w:tbl>
    <w:p>
      <w:pPr>
        <w:spacing w:after="120" w:line="276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[Screenshot here — pair each runbook entry with the terminal output that produced it, kali-abc123 visible in the prompt.]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C. Analyst Reflection</w:t>
      </w:r>
    </w:p>
    <w:p>
      <w:pPr>
        <w:pStyle w:val="Heading2"/>
        <w:spacing w:after="120" w:before="240"/>
      </w:pPr>
      <w:r>
        <w:rPr>
          <w:rFonts w:ascii="Roboto Slab" w:cs="Roboto Slab" w:eastAsia="Roboto Slab" w:hAnsi="Roboto Slab"/>
          <w:b/>
          <w:bCs/>
          <w:color w:val="2E75B6"/>
          <w:sz w:val="24"/>
          <w:szCs w:val="24"/>
        </w:rPr>
        <w:t xml:space="preserve">1. Timesheet Self-Audit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[Your timesheet self-audit here.]</w:t>
      </w:r>
    </w:p>
    <w:p>
      <w:pPr>
        <w:pStyle w:val="Heading2"/>
        <w:spacing w:after="120" w:before="240"/>
      </w:pPr>
      <w:r>
        <w:rPr>
          <w:rFonts w:ascii="Roboto Slab" w:cs="Roboto Slab" w:eastAsia="Roboto Slab" w:hAnsi="Roboto Slab"/>
          <w:b/>
          <w:bCs/>
          <w:color w:val="2E75B6"/>
          <w:sz w:val="24"/>
          <w:szCs w:val="24"/>
        </w:rPr>
        <w:t xml:space="preserve">2. Professional Reflection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[Your professional reflection here.]</w:t>
      </w:r>
    </w:p>
    <w:p>
      <w:pPr>
        <w:pStyle w:val="Heading2"/>
        <w:spacing w:after="120" w:before="240"/>
      </w:pPr>
      <w:r>
        <w:rPr>
          <w:rFonts w:ascii="Roboto Slab" w:cs="Roboto Slab" w:eastAsia="Roboto Slab" w:hAnsi="Roboto Slab"/>
          <w:b/>
          <w:bCs/>
          <w:color w:val="2E75B6"/>
          <w:sz w:val="24"/>
          <w:szCs w:val="24"/>
        </w:rPr>
        <w:t xml:space="preserve">3. AI Methodology Reflection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[Your AI methodology reflection here — or a truthful N/A.]</w:t>
      </w:r>
    </w:p>
    <w:p>
      <w:r>
        <w:br w:type="page"/>
      </w:r>
    </w:p>
    <w:p>
      <w:pPr>
        <w:spacing w:after="40" w:before="240"/>
        <w:jc w:val="center"/>
      </w:pPr>
      <w:r>
        <w:rPr>
          <w:rFonts w:ascii="Roboto" w:cs="Roboto" w:eastAsia="Roboto" w:hAnsi="Roboto"/>
          <w:b/>
          <w:bCs/>
          <w:color w:val="595959"/>
          <w:spacing w:val="30"/>
          <w:sz w:val="18"/>
          <w:szCs w:val="18"/>
        </w:rPr>
        <w:t xml:space="preserve">PART II — CLIENT DELIVERABLE</w:t>
      </w:r>
    </w:p>
    <w:p>
      <w:pPr>
        <w:spacing w:after="160"/>
      </w:pPr>
      <w:r>
        <w:t xml:space="preserve"/>
      </w:r>
    </w:p>
    <w:p>
      <w:pPr>
        <w:jc w:val="center"/>
        <w:spacing w:after="240"/>
      </w:pPr>
      <w:r>
        <w:drawing>
          <wp:inline distT="0" distB="0" distL="0" distR="0">
            <wp:extent cx="164782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000" cy="1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5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F4E79" w:val="clear"/>
            <w:tcMar>
              <w:top w:type="dxa" w:w="24"/>
              <w:bottom w:type="dxa" w:w="24"/>
            </w:tcMar>
          </w:tcPr>
          <w:p>
            <w:r>
              <w:rPr>
                <w:sz w:val="6"/>
                <w:szCs w:val="6"/>
              </w:rPr>
              <w:t xml:space="preserve"/>
            </w:r>
          </w:p>
        </w:tc>
      </w:tr>
    </w:tbl>
    <w:p>
      <w:pPr>
        <w:spacing w:after="420"/>
      </w:pPr>
      <w:r>
        <w:t xml:space="preserve"/>
      </w:r>
    </w:p>
    <w:p>
      <w:pPr>
        <w:spacing w:after="60"/>
        <w:jc w:val="center"/>
      </w:pPr>
      <w:r>
        <w:rPr>
          <w:rFonts w:ascii="Roboto Slab" w:cs="Roboto Slab" w:eastAsia="Roboto Slab" w:hAnsi="Roboto Slab"/>
          <w:b/>
          <w:bCs/>
          <w:color w:val="1F4E79"/>
          <w:sz w:val="40"/>
          <w:szCs w:val="40"/>
        </w:rPr>
        <w:t xml:space="preserve">External Attack Surface Assessment</w:t>
      </w:r>
    </w:p>
    <w:p>
      <w:pPr>
        <w:spacing w:after="40"/>
        <w:jc w:val="center"/>
      </w:pPr>
      <w:r>
        <w:rPr>
          <w:rFonts w:ascii="Roboto" w:cs="Roboto" w:eastAsia="Roboto" w:hAnsi="Roboto"/>
          <w:color w:val="595959"/>
          <w:sz w:val="26"/>
          <w:szCs w:val="26"/>
        </w:rPr>
        <w:t xml:space="preserve">Security Engagement Report</w:t>
      </w:r>
    </w:p>
    <w:p>
      <w:pPr>
        <w:spacing w:after="480"/>
        <w:jc w:val="center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Module 1 — Reconnaissance</w:t>
      </w:r>
    </w:p>
    <w:p>
      <w:pPr>
        <w:spacing w:after="360"/>
      </w:pPr>
      <w:r>
        <w:t xml:space="preserve"/>
      </w:r>
    </w:p>
    <w:tbl>
      <w:tblPr>
        <w:tblW w:type="pct" w:w="76%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Prepared by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NEXUS Security Consulting</w:t>
            </w:r>
            <w:r>
              <w:br/>
            </w:r>
            <w:fldSimple w:instr="DOCPROPERTY Author \* MERGEFORMAT"/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fldSimple w:instr="DATE \@ &quot;MMMM d, yyyy&quot;"/>
          </w:p>
        </w:tc>
      </w:tr>
      <w:tr>
        <w:tc>
          <w:tcPr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C00000"/>
                <w:sz w:val="20"/>
                <w:szCs w:val="20"/>
              </w:rPr>
              <w:t xml:space="preserve">CONFIDENTIAL — Client Use Only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40"/>
        <w:jc w:val="center"/>
      </w:pPr>
      <w:r>
        <w:rPr>
          <w:rFonts w:ascii="Roboto" w:cs="Roboto" w:eastAsia="Roboto" w:hAnsi="Roboto"/>
          <w:color w:val="595959"/>
          <w:sz w:val="16"/>
          <w:szCs w:val="16"/>
        </w:rPr>
        <w:t xml:space="preserve">Prepared by NEXUS Security Consulting</w:t>
      </w:r>
    </w:p>
    <w:p>
      <w:r>
        <w:br w:type="page"/>
      </w:r>
    </w:p>
    <w:p>
      <w:pPr>
        <w:pBdr>
          <w:bottom w:val="single" w:color="2E75B6" w:sz="12"/>
        </w:pBdr>
        <w:spacing w:after="60" w:before="120"/>
      </w:pPr>
      <w:r>
        <w:rPr>
          <w:rFonts w:ascii="Roboto Slab" w:cs="Roboto Slab" w:eastAsia="Roboto Slab" w:hAnsi="Roboto Slab"/>
          <w:b/>
          <w:bCs/>
          <w:color w:val="2E75B6"/>
          <w:sz w:val="32"/>
          <w:szCs w:val="32"/>
        </w:rPr>
        <w:t xml:space="preserve">The Client Deliverable</w:t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Executive Summary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[Your executive summary here — one page maximum.]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Methodology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[Your methodology overview here.]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Findings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68910" w:sz="24"/>
              <w:bottom w:val="single" w:color="D9D9D9" w:sz="4"/>
              <w:right w:val="single" w:color="D9D9D9" w:sz="4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Roboto Slab" w:cs="Roboto Slab" w:eastAsia="Roboto Slab" w:hAnsi="Roboto Slab"/>
                <w:b/>
                <w:bCs/>
                <w:color w:val="1F4E79"/>
                <w:sz w:val="22"/>
                <w:szCs w:val="22"/>
              </w:rPr>
              <w:t xml:space="preserve">FINDING 001 — [Title of your highest-severity finding]</w:t>
            </w:r>
          </w:p>
          <w:p>
            <w:pPr>
              <w:spacing w:after="100"/>
            </w:pPr>
            <w:r>
              <w:rPr>
                <w:rFonts w:ascii="Roboto" w:cs="Roboto" w:eastAsia="Roboto" w:hAnsi="Roboto"/>
                <w:b/>
                <w:bCs/>
                <w:color w:val="1A1A1A"/>
                <w:sz w:val="20"/>
                <w:szCs w:val="20"/>
              </w:rPr>
              <w:t xml:space="preserve">Severity: </w:t>
            </w:r>
            <w:r>
              <w:rPr>
                <w:rFonts w:ascii="Roboto" w:cs="Roboto" w:eastAsia="Roboto" w:hAnsi="Roboto"/>
                <w:color w:val="595959"/>
                <w:sz w:val="20"/>
                <w:szCs w:val="20"/>
              </w:rPr>
              <w:t xml:space="preserve">[Critical / High / Medium / Low]</w:t>
            </w:r>
            <w:r>
              <w:rPr>
                <w:rFonts w:ascii="Roboto" w:cs="Roboto" w:eastAsia="Roboto" w:hAnsi="Roboto"/>
                <w:color w:val="595959"/>
                <w:sz w:val="20"/>
                <w:szCs w:val="20"/>
              </w:rPr>
              <w:t xml:space="preserve">    Affected: [host / system / account]</w:t>
            </w:r>
          </w:p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  <w:p>
            <w:pPr>
              <w:spacing w:after="100"/>
            </w:pPr>
            <w:r>
              <w:rPr>
                <w:rFonts w:ascii="Roboto" w:cs="Roboto" w:eastAsia="Roboto" w:hAnsi="Roboto"/>
                <w:color w:val="595959"/>
                <w:sz w:val="21"/>
                <w:szCs w:val="21"/>
              </w:rPr>
              <w:t xml:space="preserve">[What the issue is, in client-readable terms.]</w:t>
            </w:r>
          </w:p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2E75B6"/>
                <w:sz w:val="20"/>
                <w:szCs w:val="20"/>
              </w:rPr>
              <w:t xml:space="preserve">Evidence</w:t>
            </w:r>
          </w:p>
          <w:p>
            <w:pPr>
              <w:spacing w:after="100"/>
            </w:pPr>
            <w:r>
              <w:rPr>
                <w:rFonts w:ascii="Roboto" w:cs="Roboto" w:eastAsia="Roboto" w:hAnsi="Roboto"/>
                <w:i/>
                <w:iCs/>
                <w:color w:val="595959"/>
                <w:sz w:val="21"/>
                <w:szCs w:val="21"/>
              </w:rPr>
              <w:t xml:space="preserve">[Reference the screenshot/output that proves it; full output in Appendix.]</w:t>
            </w:r>
          </w:p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2E75B6"/>
                <w:sz w:val="20"/>
                <w:szCs w:val="20"/>
              </w:rPr>
              <w:t xml:space="preserve">Impact</w:t>
            </w:r>
          </w:p>
          <w:p>
            <w:pPr>
              <w:spacing w:after="100"/>
            </w:pPr>
            <w:r>
              <w:rPr>
                <w:rFonts w:ascii="Roboto" w:cs="Roboto" w:eastAsia="Roboto" w:hAnsi="Roboto"/>
                <w:color w:val="595959"/>
                <w:sz w:val="21"/>
                <w:szCs w:val="21"/>
              </w:rPr>
              <w:t xml:space="preserve">[What it means for the business if left unaddressed.]</w:t>
            </w:r>
          </w:p>
          <w:p>
            <w:pPr>
              <w:spacing w:after="40"/>
            </w:pPr>
            <w:r>
              <w:rPr>
                <w:rFonts w:ascii="Roboto" w:cs="Roboto" w:eastAsia="Roboto" w:hAnsi="Roboto"/>
                <w:b/>
                <w:bCs/>
                <w:color w:val="2E75B6"/>
                <w:sz w:val="20"/>
                <w:szCs w:val="20"/>
              </w:rPr>
              <w:t xml:space="preserve">Recommendation</w:t>
            </w:r>
          </w:p>
          <w:p>
            <w:r>
              <w:rPr>
                <w:rFonts w:ascii="Roboto" w:cs="Roboto" w:eastAsia="Roboto" w:hAnsi="Roboto"/>
                <w:color w:val="595959"/>
                <w:sz w:val="21"/>
                <w:szCs w:val="21"/>
              </w:rPr>
              <w:t xml:space="preserve">[The specific fix, and any longer-term measure.]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[Add your remaining findings here, highest severity first.]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Risk Analysis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pct" w:w="22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pct" w:w="22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pct" w:w="22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Risk Rating</w:t>
            </w:r>
          </w:p>
        </w:tc>
        <w:tc>
          <w:tcPr>
            <w:tcW w:type="pct" w:w="18%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Roboto" w:cs="Roboto" w:eastAsia="Roboto" w:hAnsi="Roboto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001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[#]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Roboto" w:cs="Roboto" w:eastAsia="Roboto" w:hAnsi="Roboto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1A1A1A"/>
          <w:sz w:val="22"/>
          <w:szCs w:val="22"/>
        </w:rPr>
        <w:t xml:space="preserve">This week: </w:t>
      </w: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[Highest-priority fix, tied to your top finding.]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b/>
          <w:bCs/>
          <w:color w:val="1A1A1A"/>
          <w:sz w:val="22"/>
          <w:szCs w:val="22"/>
        </w:rPr>
        <w:t xml:space="preserve">This quarter: </w:t>
      </w: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[Medium-term measure.]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[Add your prioritized recommendations here, each tied to a finding number.]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/>
        </w:pBdr>
        <w:spacing w:after="160" w:before="320"/>
      </w:pPr>
      <w:r>
        <w:rPr>
          <w:rFonts w:ascii="Roboto Slab" w:cs="Roboto Slab" w:eastAsia="Roboto Slab" w:hAnsi="Roboto Slab"/>
          <w:b/>
          <w:bCs/>
          <w:color w:val="1F4E79"/>
          <w:sz w:val="30"/>
          <w:szCs w:val="30"/>
        </w:rPr>
        <w:t xml:space="preserve">Appendix</w:t>
      </w:r>
    </w:p>
    <w:p>
      <w:pPr>
        <w:pStyle w:val="Heading2"/>
        <w:spacing w:after="120" w:before="240"/>
      </w:pPr>
      <w:r>
        <w:rPr>
          <w:rFonts w:ascii="Roboto Slab" w:cs="Roboto Slab" w:eastAsia="Roboto Slab" w:hAnsi="Roboto Slab"/>
          <w:b/>
          <w:bCs/>
          <w:color w:val="2E75B6"/>
          <w:sz w:val="24"/>
          <w:szCs w:val="24"/>
        </w:rPr>
        <w:t xml:space="preserve">A. Raw Tool Output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[Paste complete, scrubbed scan output here — the long results you summarized in Findings.]</w:t>
      </w:r>
    </w:p>
    <w:p>
      <w:pPr>
        <w:pStyle w:val="Heading2"/>
        <w:spacing w:after="120" w:before="240"/>
      </w:pPr>
      <w:r>
        <w:rPr>
          <w:rFonts w:ascii="Roboto Slab" w:cs="Roboto Slab" w:eastAsia="Roboto Slab" w:hAnsi="Roboto Slab"/>
          <w:b/>
          <w:bCs/>
          <w:color w:val="2E75B6"/>
          <w:sz w:val="24"/>
          <w:szCs w:val="24"/>
        </w:rPr>
        <w:t xml:space="preserve">B. Additional Screenshots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95959"/>
          <w:sz w:val="22"/>
          <w:szCs w:val="22"/>
        </w:rPr>
        <w:t xml:space="preserve">[Screenshots that add context but weren’t essential to the main narrative. kali-abc123 visible in each.]</w:t>
      </w:r>
    </w:p>
    <w:p>
      <w:r>
        <w:t xml:space="preserve">This section is a sandbox. Nothing here is graded. Open the Navigation Pane — Windows: View &gt; Navigation Pane. Mac: View &gt; Sidebar &gt; Navigation — and keep it open while you read. Every pair below shows one mechanic done right and the same mechanic done wrong. Change things. Break them. Press Ctrl+A then F9 (Mac: ⌘A then F9) and watch what moves.</w:t>
      </w:r>
    </w:p>
    <w:p>
      <w:pPr>
        <w:pStyle w:val="Heading3"/>
      </w:pPr>
      <w:r>
        <w:t xml:space="preserve">Pair 1 — Captions</w:t>
      </w:r>
    </w:p>
    <w:p>
      <w:pPr>
        <w:pBdr>
          <w:top w:val="single" w:sz="8" w:color="B4C6E7"/>
          <w:left w:val="single" w:sz="8" w:color="B4C6E7"/>
          <w:bottom w:val="single" w:sz="8" w:color="B4C6E7"/>
          <w:right w:val="single" w:sz="8" w:color="B4C6E7"/>
        </w:pBdr>
        <w:jc w:val="center"/>
        <w:spacing w:before="120" w:after="0"/>
      </w:pPr>
      <w:r>
        <w:rPr>
          <w:color w:val="8496B0"/>
          <w:sz w:val="18"/>
        </w:rPr>
        <w:t xml:space="preserve">( screenshot placeholder )</w:t>
      </w:r>
    </w:p>
    <w:p>
      <w:pPr>
        <w:pStyle w:val="Caption"/>
      </w:pPr>
      <w:bookmarkStart w:id="900" w:name="_Ref_Lab10_Fig1"/>
      <w:r>
        <w:t xml:space="preserve">Figure </w:t>
      </w:r>
      <w:fldSimple w:instr=" SEQ Figure \* ARABIC ">
        <w:r>
          <w:t>1</w:t>
        </w:r>
      </w:fldSimple>
      <w:r>
        <w:t xml:space="preserve"> — RIGHT. Caption style, auto-numbered by a SEQ field. It does not appear in the Navigation Pane, because a caption is not a section.</w:t>
      </w:r>
      <w:bookmarkEnd w:id="900"/>
    </w:p>
    <w:p>
      <w:pPr>
        <w:pBdr>
          <w:top w:val="single" w:sz="8" w:color="B4C6E7"/>
          <w:left w:val="single" w:sz="8" w:color="B4C6E7"/>
          <w:bottom w:val="single" w:sz="8" w:color="B4C6E7"/>
          <w:right w:val="single" w:sz="8" w:color="B4C6E7"/>
        </w:pBdr>
        <w:jc w:val="center"/>
        <w:spacing w:before="120" w:after="0"/>
      </w:pPr>
      <w:r>
        <w:rPr>
          <w:color w:val="8496B0"/>
          <w:sz w:val="18"/>
        </w:rPr>
        <w:t xml:space="preserve">( screenshot placeholder )</w:t>
      </w:r>
    </w:p>
    <w:p>
      <w:pPr>
        <w:pStyle w:val="Heading2"/>
      </w:pPr>
      <w:r>
        <w:t xml:space="preserve">Figure 2 — WRONG. This caption is styled Heading 2, so Word now believes it is a section. Find it in the Navigation Pane, then update the Table of Contents and find it there too. This single mistake is what wrecked most Table of Contents last term.</w:t>
      </w:r>
    </w:p>
    <w:p>
      <w:pPr>
        <w:pBdr>
          <w:top w:val="single" w:sz="8" w:color="B4C6E7"/>
          <w:left w:val="single" w:sz="8" w:color="B4C6E7"/>
          <w:bottom w:val="single" w:sz="8" w:color="B4C6E7"/>
          <w:right w:val="single" w:sz="8" w:color="B4C6E7"/>
        </w:pBdr>
        <w:jc w:val="center"/>
        <w:spacing w:before="120" w:after="0"/>
      </w:pPr>
      <w:r>
        <w:rPr>
          <w:color w:val="8496B0"/>
          <w:sz w:val="18"/>
        </w:rPr>
        <w:t xml:space="preserve">( screenshot placeholder )</w:t>
      </w:r>
    </w:p>
    <w:p>
      <w:r>
        <w:t xml:space="preserve">WRONG — the figure above has no caption at all. Nothing can cross-reference it, and it cannot be numbered automatically.</w:t>
      </w:r>
    </w:p>
    <w:p>
      <w:pPr>
        <w:pStyle w:val="Heading3"/>
      </w:pPr>
      <w:r>
        <w:t xml:space="preserve">Pair 2 — The blank heading</w:t>
      </w:r>
    </w:p>
    <w:p>
      <w:pPr>
        <w:pStyle w:val="Heading1"/>
      </w:pPr>
      <w:r>
        <w:t xml:space="preserve"/>
      </w:r>
    </w:p>
    <w:p>
      <w:r>
        <w:t xml:space="preserve">Directly above this sentence is an EMPTY paragraph styled Heading 1. Look at the Navigation Pane: there is a blank entry. That happens when you drag-select a heading and catch the empty line under it. Rule: there should be no blank entries in the Navigation Pane. To fix it, click in the blank line and apply Home &gt; Styles &gt; Normal.</w:t>
      </w:r>
    </w:p>
    <w:p>
      <w:pPr>
        <w:pStyle w:val="Heading3"/>
      </w:pPr>
      <w:r>
        <w:t xml:space="preserve">Pair 3 — Cross-references</w:t>
      </w:r>
    </w:p>
    <w:p>
      <w:r>
        <w:t xml:space="preserve">RIGHT: the scan output appears in </w:t>
      </w:r>
      <w:fldSimple w:instr=" REF _Ref_Lab10_Fig1 \h ">
        <w:r>
          <w:t>Figure 1</w:t>
        </w:r>
      </w:fldSimple>
      <w:r>
        <w:t xml:space="preserve">. That is a REF field. Add a figure above it, press Ctrl+A then F9, and watch this renumber itself.</w:t>
      </w:r>
    </w:p>
    <w:p>
      <w:r>
        <w:t xml:space="preserve">WRONG: the scan output appears in Figure 1. That was typed by hand. Add a figure above it and it silently becomes a lie — which is exactly how a client report loses credibility.</w:t>
      </w:r>
    </w:p>
    <w:p>
      <w:pPr>
        <w:pStyle w:val="Heading3"/>
      </w:pPr>
      <w:r>
        <w:t xml:space="preserve">Pair 4 — Citations</w:t>
      </w:r>
    </w:p>
    <w:p>
      <w:r>
        <w:t xml:space="preserve">RIGHT: password reuse remains the dominant credential-attack vector </w:t>
      </w:r>
      <w:fldSimple w:instr=" CITATION Con21 \l 1033 ">
        <w:r>
          <w:t>(Conklin &amp; White, 2022)</w:t>
        </w:r>
      </w:fldSimple>
      <w:r>
        <w:t xml:space="preserve">. That is a CITATION field, inserted with References &gt; Insert Citation. It will build the reference list for you.</w:t>
      </w:r>
    </w:p>
    <w:p>
      <w:r>
        <w:t xml:space="preserve">WRONG: password reuse remains the dominant credential-attack vector (Conklin &amp; White, 2022). That was typed by hand. It looks identical and does nothing — no reference list, no alphabetizing, no protection when the source changes.</w:t>
      </w:r>
    </w:p>
    <w:p>
      <w:pPr>
        <w:pStyle w:val="Heading2"/>
        <w:spacing w:after="120" w:before="240"/>
      </w:pPr>
      <w:r>
        <w:rPr>
          <w:rFonts w:ascii="Roboto Slab" w:cs="Roboto Slab" w:eastAsia="Roboto Slab" w:hAnsi="Roboto Slab"/>
          <w:b/>
          <w:bCs/>
          <w:color w:val="2E75B6"/>
          <w:sz w:val="24"/>
          <w:szCs w:val="24"/>
        </w:rPr>
        <w:t xml:space="preserve">C. References</w:t>
      </w:r>
    </w:p>
    <w:sdt>
      <w:sdtPr>
        <w:alias w:val="Bibliography"/>
      </w:sdtPr>
      <w:sdtContent>
        <w:p>
          <w:r>
            <w:fldChar w:fldCharType="begin"/>
            <w:instrText xml:space="preserve">BIBLIOGRAPHY \l 1033 </w:instrText>
            <w:fldChar w:fldCharType="separate"/>
          </w:r>
        </w:p>
        <w:p>
          <w:pPr>
            <w:spacing w:after="120"/>
            <w:ind w:left="480" w:hanging="480"/>
          </w:pPr>
          <w:r>
            <w:rPr>
              <w:rFonts w:ascii="Roboto" w:cs="Roboto" w:eastAsia="Roboto" w:hAnsi="Roboto"/>
              <w:color w:val="1A1A1A"/>
              <w:sz w:val="22"/>
              <w:szCs w:val="22"/>
            </w:rPr>
            <w:t xml:space="preserve">Conklin, W. A., &amp; White, G. (2022). Principles of Computer Security: CompTIA Security+ and Beyond (Sixth ed.). McGraw-Hill Education.</w:t>
          </w:r>
        </w:p>
        <w:p>
          <w:r>
            <w:fldChar w:fldCharType="end"/>
          </w:r>
        </w:p>
      </w:sdtContent>
    </w:sdt>
    <w:sectPr>
      <w:headerReference w:type="default" r:id="rId7"/>
      <w:footerReference w:type="default" r:id="rId8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tabs>
        <w:tab w:val="right" w:pos="9360"/>
      </w:tabs>
    </w:pPr>
    <w:r>
      <w:rPr>
        <w:rFonts w:ascii="Roboto" w:cs="Roboto" w:eastAsia="Roboto" w:hAnsi="Roboto"/>
        <w:color w:val="595959"/>
        <w:sz w:val="15"/>
        <w:szCs w:val="15"/>
      </w:rPr>
      <w:t xml:space="preserve">Engagement Packet</w:t>
    </w:r>
    <w:r>
      <w:rPr>
        <w:rFonts w:ascii="Roboto" w:cs="Roboto" w:eastAsia="Roboto" w:hAnsi="Roboto"/>
      </w:rPr>
      <w:t xml:space="preserve">	</w:t>
    </w:r>
    <w:r>
      <w:rPr>
        <w:rFonts w:ascii="Roboto" w:cs="Roboto" w:eastAsia="Roboto" w:hAnsi="Roboto"/>
        <w:color w:val="595959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tabs>
        <w:tab w:val="right" w:pos="9360"/>
      </w:tabs>
    </w:pPr>
    <w:r>
      <w:rPr>
        <w:rFonts w:ascii="Roboto" w:cs="Roboto" w:eastAsia="Roboto" w:hAnsi="Roboto"/>
        <w:color w:val="595959"/>
        <w:sz w:val="15"/>
        <w:szCs w:val="15"/>
      </w:rPr>
      <w:t xml:space="preserve">NEXUS SECURITY — CONFIDENTIAL</w:t>
    </w:r>
    <w:r>
      <w:rPr>
        <w:rFonts w:ascii="Roboto" w:cs="Roboto" w:eastAsia="Roboto" w:hAnsi="Roboto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Roboto Slab" w:cs="Roboto Slab" w:eastAsia="Roboto Slab" w:hAnsi="Roboto Slab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Roboto Slab" w:cs="Roboto Slab" w:eastAsia="Roboto Slab" w:hAnsi="Roboto Slab"/>
      <w:b/>
      <w:bCs/>
      <w:color w:val="2E75B6"/>
      <w:sz w:val="24"/>
      <w:szCs w:val="24"/>
    </w:rPr>
  </w:style>
  <w:style w:type="paragraph" w:styleId="Caption">
    <w:name w:val="caption"/>
    <w:basedOn w:val="Normal"/>
    <w:next w:val="Normal"/>
    <w:uiPriority w:val="35"/>
    <w:qFormat/>
    <w:pPr>
      <w:spacing w:before="120" w:after="200"/>
    </w:pPr>
    <w:rPr>
      <w:i/>
      <w:iCs/>
      <w:color w:val="44546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6792b11216b81b8cf7c76ce1687d6cc4584213.png"/><Relationship Id="rId11" Type="http://schemas.openxmlformats.org/officeDocument/2006/relationships/fontTable" Target="fontTable.xml"/><Relationship Id="rIdCustomXml1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>
  <b:Source>
    <b:Tag>Con21</b:Tag>
    <b:SourceType>Book</b:SourceType>
    <b:Guid>{7B3C1D42-9A54-4E8B-B1F6-2C0D5E7A9F31}</b:Guid>
    <b:Author>
      <b:Author>
        <b:NameList>
          <b:Person>
            <b:Last>Conklin</b:Last>
            <b:First>Wm.</b:First>
            <b:Middle>Arthur</b:Middle>
          </b:Person>
          <b:Person>
            <b:Last>White</b:Last>
            <b:First>Greg</b:First>
          </b:Person>
        </b:NameList>
      </b:Author>
    </b:Author>
    <b:Title>Principles of Computer Security: CompTIA Security+ and Beyond</b:Title>
    <b:Edition>Sixth</b:Edition>
    <b:Publisher>McGraw-Hill Education</b:Publisher>
    <b:Year>2022</b:Year>
    <b:RefOrder>1</b:RefOrder>
  </b:Source>
</b:Sources>
</file>

<file path=customXml/itemProps1.xml><?xml version="1.0" encoding="utf-8"?>
<ds:datastoreItem xmlns:ds="http://schemas.openxmlformats.org/officeDocument/2006/customXml" ds:itemID="{7B3C1D42-9A54-4E8B-B1F6-2C0D5E7A9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Engagement Packet</dc:title>
  <dc:creator>NEXUS Security Consulting</dc:creator>
  <dc:description>IS-3513 Engagement Packet — Module 1</dc:description>
  <cp:lastModifiedBy>Un-named</cp:lastModifiedBy>
  <cp:revision>1</cp:revision>
  <dcterms:created xsi:type="dcterms:W3CDTF">2026-05-29T16:35:05.492Z</dcterms:created>
  <dcterms:modified xsi:type="dcterms:W3CDTF">2026-05-29T16:35:05.505Z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c123">
    <vt:lpwstr>abc123</vt:lpwstr>
  </property>
</Properties>
</file>