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customXmlProperties+xml" PartName="/customXml/itemProps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2 — Cryptographic Assessment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B7A75" w:val="clear"/>
            <w:tcMar>
              <w:top w:type="dxa" w:w="30"/>
              <w:bottom w:type="dxa" w:w="30"/>
            </w:tcMar>
          </w:tcPr>
          <w:p>
            <w:r>
              <w:rPr>
                <w:sz w:val="8"/>
                <w:szCs w:val="8"/>
              </w:rPr>
              <w:t xml:space="preserve"/>
            </w:r>
          </w:p>
        </w:tc>
      </w:tr>
    </w:tbl>
    <w:p>
      <w:pPr>
        <w:spacing w:after="200"/>
      </w:pPr>
      <w:r>
        <w:t xml:space="preserve"/>
      </w:r>
    </w:p>
    <w:p>
      <w:pPr>
        <w:jc w:val="center"/>
      </w:pPr>
      <w:r>
        <w:drawing>
          <wp:inline distT="0" distB="0" distL="0" distR="0">
            <wp:extent cx="847725"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47725" cy="971550"/>
                    </a:xfrm>
                    <a:prstGeom prst="rect">
                      <a:avLst/>
                    </a:prstGeom>
                  </pic:spPr>
                </pic:pic>
              </a:graphicData>
            </a:graphic>
          </wp:inline>
        </w:drawing>
      </w:r>
    </w:p>
    <w:p>
      <w:pPr>
        <w:spacing w:after="360" w:before="60"/>
        <w:jc w:val="center"/>
      </w:pPr>
      <w:r>
        <w:rPr>
          <w:rFonts w:ascii="Roboto" w:cs="Roboto" w:eastAsia="Roboto" w:hAnsi="Roboto"/>
          <w:i/>
          <w:iCs/>
          <w:color w:val="595959"/>
          <w:sz w:val="22"/>
          <w:szCs w:val="22"/>
        </w:rPr>
        <w:t xml:space="preserve">Prepared for Gulf Coast Healthcare Partners</w:t>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Client</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Gulf Coast Healthcare Partners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b/>
                <w:bCs/>
                <w:color w:val="FFFFFF"/>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200" w:before="60"/>
      </w:pPr>
      <w:r>
        <w:rPr>
          <w:rFonts w:ascii="Roboto" w:cs="Roboto" w:eastAsia="Roboto" w:hAnsi="Roboto"/>
          <w:i/>
          <w:iCs/>
          <w:color w:val="595959"/>
          <w:sz w:val="20"/>
          <w:szCs w:val="20"/>
        </w:rPr>
        <w:t xml:space="preserve">Log one line per work session, not one per unit. Need more rows? Right-click inside the last row and choose Insert → Insert Rows Below — same on Windows and Mac. Delete any rows you do not use.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A fully worked example entry is in the Engagement Packet Worked Example (linked from the Lab 1.0 page).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pPr>
      <w:r>
        <w:drawing>
          <wp:inline distT="0" distB="0" distL="0" distR="0">
            <wp:extent cx="14097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09700" cy="1619250"/>
                    </a:xfrm>
                    <a:prstGeom prst="rect">
                      <a:avLst/>
                    </a:prstGeom>
                  </pic:spPr>
                </pic:pic>
              </a:graphicData>
            </a:graphic>
          </wp:inline>
        </w:drawing>
      </w:r>
    </w:p>
    <w:p>
      <w:pPr>
        <w:spacing w:after="40" w:before="80"/>
        <w:jc w:val="center"/>
      </w:pPr>
      <w:r>
        <w:rPr>
          <w:rFonts w:ascii="Roboto Slab" w:cs="Roboto Slab" w:eastAsia="Roboto Slab" w:hAnsi="Roboto Slab"/>
          <w:b/>
          <w:bCs/>
          <w:color w:val="0B7A75"/>
          <w:sz w:val="30"/>
          <w:szCs w:val="30"/>
        </w:rPr>
        <w:t xml:space="preserve">GULF COAST HEALTHCARE PARTNERS</w:t>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B7A75"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Cryptographic &amp; Authentication Assessment</w:t>
      </w:r>
    </w:p>
    <w:p>
      <w:pPr>
        <w:spacing w:after="40"/>
        <w:jc w:val="center"/>
      </w:pPr>
      <w:r>
        <w:rPr>
          <w:rFonts w:ascii="Roboto" w:cs="Roboto" w:eastAsia="Roboto" w:hAnsi="Roboto"/>
          <w:color w:val="595959"/>
          <w:sz w:val="24"/>
          <w:szCs w:val="24"/>
        </w:rPr>
        <w:t xml:space="preserve">Security Engagement Report</w:t>
      </w:r>
    </w:p>
    <w:p>
      <w:pPr>
        <w:spacing w:after="480"/>
        <w:jc w:val="center"/>
      </w:pPr>
      <w:r>
        <w:rPr>
          <w:rFonts w:ascii="Roboto" w:cs="Roboto" w:eastAsia="Roboto" w:hAnsi="Roboto"/>
          <w:i/>
          <w:iCs/>
          <w:color w:val="595959"/>
          <w:sz w:val="22"/>
          <w:szCs w:val="22"/>
        </w:rPr>
        <w:t xml:space="preserve">Module 2 — Cryptographic Assessment</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4%"/>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for</w:t>
            </w:r>
          </w:p>
        </w:tc>
        <w:tc>
          <w:tcPr>
            <w:tcW w:type="pct" w:w="66%"/>
            <w:tcMar>
              <w:top w:type="dxa" w:w="60"/>
              <w:left w:type="dxa" w:w="110"/>
              <w:bottom w:type="dxa" w:w="60"/>
              <w:right w:type="dxa" w:w="110"/>
            </w:tcMar>
            <w:vAlign w:val="center"/>
          </w:tcPr>
          <w:p>
            <w:r>
              <w:rPr>
                <w:rFonts w:ascii="Roboto" w:cs="Roboto" w:eastAsia="Roboto" w:hAnsi="Roboto"/>
                <w:color w:val="1A1A1A"/>
                <w:sz w:val="20"/>
                <w:szCs w:val="20"/>
              </w:rPr>
              <w:t xml:space="preserve">Gulf Coast Healthcare Partners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Gulf Coast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A fully worked example finding is in the Engagement Packet Worked Example (linked from the Lab 1.0 page).</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sources, each cited at least once in the body. Add every source with References → Insert Citation → Add New Source (tick “Show All Bibliography Fields” so you can enter the URL), then build this list with References → Bibliography. The style is already set to APA. Do not type entries by hand. The course textbook does not count.</w:t>
      </w:r>
    </w:p>
    <w:sdt>
      <w:sdtPr>
        <w:alias w:val="Bibliography"/>
      </w:sdtPr>
      <w:sdtContent>
        <w:p>
          <w:r>
            <w:fldChar w:fldCharType="begin" w:dirty="true"/>
            <w:instrText xml:space="preserve">BIBLIOGRAPHY \l 1033 </w:instrText>
            <w:fldChar w:fldCharType="separate"/>
          </w:r>
        </w:p>
        <w:p>
          <w:r>
            <w:fldChar w:fldCharType="end"/>
          </w:r>
        </w:p>
      </w:sdtContent>
    </w:sdt>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r>
      <w:rPr>
        <w:rFonts w:ascii="Roboto" w:cs="Roboto" w:eastAsia="Roboto" w:hAnsi="Roboto"/>
        <w:color w:val="595959"/>
        <w:sz w:val="15"/>
        <w:szCs w:val="15"/>
      </w:rPr>
      <w:t xml:space="preserve">Gulf Coast Healthcare Partners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 w:type="paragraph" w:styleId="Caption">
    <w:name w:val="caption"/>
    <w:basedOn w:val="Normal"/>
    <w:next w:val="Normal"/>
    <w:uiPriority w:val="35"/>
    <w:qFormat/>
    <w:pPr>
      <w:spacing w:before="120" w:after="20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undefined"/><Relationship Id="rId10" Type="http://schemas.openxmlformats.org/officeDocument/2006/relationships/image" Target="media/99a640005490fa2377c769451e963c81fcab9327.undefined"/><Relationship Id="rId11" Type="http://schemas.openxmlformats.org/officeDocument/2006/relationships/fontTable" Target="fontTable.xml"/><Relationship Id="rIdCustomXml1"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A1B2C3D4-2222-4E8B-9F02-2C0D5E7A9F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2 — Cryptographic Assessment</dc:description>
  <cp:lastModifiedBy>Un-named</cp:lastModifiedBy>
  <cp:revision>1</cp:revision>
  <dcterms:created xsi:type="dcterms:W3CDTF">2026-05-29T17:00:55.522Z</dcterms:created>
  <dcterms:modified xsi:type="dcterms:W3CDTF">2026-05-29T17:00:55.534Z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