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jc w:val="center"/>
      </w:pPr>
      <w:r>
        <w:drawing>
          <wp:inline distT="0" distB="0" distL="0" distR="0">
            <wp:extent cx="12573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428750"/>
                    </a:xfrm>
                    <a:prstGeom prst="rect">
                      <a:avLst/>
                    </a:prstGeom>
                  </pic:spPr>
                </pic:pic>
              </a:graphicData>
            </a:graphic>
          </wp:inline>
        </w:drawing>
      </w:r>
    </w:p>
    <w:p>
      <w:pPr>
        <w:spacing w:after="80"/>
      </w:pPr>
      <w:r>
        <w:t xml:space="preserve"/>
      </w:r>
    </w:p>
    <w:p>
      <w:pPr>
        <w:spacing w:after="40"/>
        <w:jc w:val="center"/>
      </w:pPr>
      <w:r>
        <w:rPr>
          <w:rFonts w:ascii="Roboto Slab" w:cs="Roboto Slab" w:eastAsia="Roboto Slab" w:hAnsi="Roboto Slab"/>
          <w:b/>
          <w:bCs/>
          <w:color w:val="1F4E79"/>
          <w:sz w:val="30"/>
          <w:szCs w:val="30"/>
        </w:rPr>
        <w:t xml:space="preserve">NEXUS SECURITY CONSULTING</w:t>
      </w:r>
    </w:p>
    <w:p>
      <w:pPr>
        <w:spacing w:after="320"/>
        <w:jc w:val="center"/>
      </w:pPr>
      <w:r>
        <w:rPr>
          <w:sz w:val="4"/>
          <w:szCs w:val="4"/>
        </w:rPr>
        <w:t xml:space="preserve"/>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C00000" w:val="clear"/>
            <w:tcMar>
              <w:top w:type="dxa" w:w="60"/>
              <w:bottom w:type="dxa" w:w="60"/>
            </w:tcMar>
          </w:tcPr>
          <w:p>
            <w:pPr>
              <w:jc w:val="center"/>
            </w:pPr>
            <w:r>
              <w:rPr>
                <w:rFonts w:ascii="Roboto" w:cs="Roboto" w:eastAsia="Roboto" w:hAnsi="Roboto"/>
                <w:b/>
                <w:bCs/>
                <w:color w:val="FFFFFF"/>
                <w:sz w:val="22"/>
                <w:szCs w:val="22"/>
              </w:rPr>
              <w:t xml:space="preserve">CONFIDENTIAL</w:t>
            </w:r>
          </w:p>
        </w:tc>
      </w:tr>
    </w:tbl>
    <w:p>
      <w:pPr>
        <w:spacing w:after="520"/>
      </w:pPr>
      <w:r>
        <w:t xml:space="preserve"/>
      </w:r>
    </w:p>
    <w:p>
      <w:pPr>
        <w:spacing w:after="80"/>
        <w:jc w:val="center"/>
      </w:pPr>
      <w:r>
        <w:rPr>
          <w:rFonts w:ascii="Roboto Slab" w:cs="Roboto Slab" w:eastAsia="Roboto Slab" w:hAnsi="Roboto Slab"/>
          <w:b/>
          <w:bCs/>
          <w:color w:val="1F4E79"/>
          <w:sz w:val="44"/>
          <w:szCs w:val="44"/>
        </w:rPr>
        <w:t xml:space="preserve">ENGAGEMENT PACKET</w:t>
      </w:r>
    </w:p>
    <w:p>
      <w:pPr>
        <w:spacing w:after="40"/>
        <w:jc w:val="center"/>
      </w:pPr>
      <w:fldSimple w:instr="DOCPROPERTY Title \* MERGEFORMAT"/>
    </w:p>
    <w:p>
      <w:pPr>
        <w:spacing w:after="360"/>
        <w:jc w:val="center"/>
      </w:pPr>
      <w:r>
        <w:rPr>
          <w:rFonts w:ascii="Roboto" w:cs="Roboto" w:eastAsia="Roboto" w:hAnsi="Roboto"/>
          <w:color w:val="595959"/>
          <w:sz w:val="24"/>
          <w:szCs w:val="24"/>
        </w:rPr>
        <w:t xml:space="preserve">Module 1 — Reconnaissance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84D3A" w:val="clear"/>
            <w:tcMar>
              <w:top w:type="dxa" w:w="30"/>
              <w:bottom w:type="dxa" w:w="30"/>
            </w:tcMar>
          </w:tcPr>
          <w:p>
            <w:r>
              <w:rPr>
                <w:sz w:val="8"/>
                <w:szCs w:val="8"/>
              </w:rPr>
              <w:t xml:space="preserve"/>
            </w:r>
          </w:p>
        </w:tc>
      </w:tr>
    </w:tbl>
    <w:p>
      <w:pPr>
        <w:spacing w:after="200"/>
      </w:pPr>
      <w:r>
        <w:t xml:space="preserve"/>
      </w:r>
    </w:p>
    <w:p>
      <w:pPr>
        <w:jc w:val="center"/>
      </w:pPr>
      <w:r>
        <w:drawing>
          <wp:inline distT="0" distB="0" distL="0" distR="0">
            <wp:extent cx="8763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857250"/>
                    </a:xfrm>
                    <a:prstGeom prst="rect">
                      <a:avLst/>
                    </a:prstGeom>
                  </pic:spPr>
                </pic:pic>
              </a:graphicData>
            </a:graphic>
          </wp:inline>
        </w:drawing>
      </w:r>
    </w:p>
    <w:p>
      <w:pPr>
        <w:spacing w:after="360" w:before="60"/>
        <w:jc w:val="center"/>
      </w:pPr>
      <w:r>
        <w:rPr>
          <w:rFonts w:ascii="Roboto" w:cs="Roboto" w:eastAsia="Roboto" w:hAnsi="Roboto"/>
          <w:i/>
          <w:iCs/>
          <w:color w:val="595959"/>
          <w:sz w:val="22"/>
          <w:szCs w:val="22"/>
        </w:rPr>
        <w:t xml:space="preserve">Prepared for Brazos Financial Group</w:t>
      </w:r>
    </w:p>
    <w:p>
      <w:pPr>
        <w:spacing w:after="360"/>
      </w:pPr>
      <w:r>
        <w:t xml:space="preserve"/>
      </w:r>
    </w:p>
    <w:tbl>
      <w:tblPr>
        <w:tblW w:type="pct" w:w="70%"/>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5%"/>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Analyst / Student</w:t>
            </w:r>
          </w:p>
        </w:tc>
        <w:tc>
          <w:tcPr>
            <w:tcW w:type="pct" w:w="65%"/>
            <w:tcMar>
              <w:top w:type="dxa" w:w="60"/>
              <w:left w:type="dxa" w:w="110"/>
              <w:bottom w:type="dxa" w:w="60"/>
              <w:right w:type="dxa" w:w="110"/>
            </w:tcMar>
            <w:vAlign w:val="center"/>
          </w:tcPr>
          <w:p>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Client</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Brazos Financial Group</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abc123 (VM ID)</w:t>
            </w:r>
          </w:p>
        </w:tc>
        <w:tc>
          <w:tcPr>
            <w:tcMar>
              <w:top w:type="dxa" w:w="60"/>
              <w:left w:type="dxa" w:w="110"/>
              <w:bottom w:type="dxa" w:w="60"/>
              <w:right w:type="dxa" w:w="110"/>
            </w:tcMar>
            <w:vAlign w:val="center"/>
          </w:tcPr>
          <w:p>
            <w:fldSimple w:instr="DOCPROPERTY abc123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bl>
    <w:p>
      <w:pPr>
        <w:spacing w:after="120"/>
      </w:pPr>
      <w:r>
        <w:t xml:space="preserve"/>
      </w:r>
    </w:p>
    <w:p>
      <w:pPr>
        <w:pBdr>
          <w:left w:val="single" w:color="2E75B6" w:sz="18"/>
        </w:pBdr>
        <w:shd w:fill="F5F7FA" w:val="clear"/>
        <w:spacing w:after="120" w:line="276"/>
        <w:ind w:left="180"/>
      </w:pPr>
      <w:r>
        <w:rPr>
          <w:rFonts w:ascii="Roboto" w:cs="Roboto" w:eastAsia="Roboto" w:hAnsi="Roboto"/>
          <w:i/>
          <w:iCs/>
          <w:color w:val="595959"/>
          <w:sz w:val="20"/>
          <w:szCs w:val="20"/>
        </w:rPr>
        <w:t xml:space="preserve">Set two things once via File → Info: your name (Author) and the abc123 custom property. Your abc123 must match the kali-abc123 hostname visible in your screenshots — it’s the key we use to tie this packet to your VM. Then select all (Ctrl+A) and press F9 to refresh every field in the document.</w:t>
      </w:r>
    </w:p>
    <w:p>
      <w:pPr>
        <w:sectPr>
          <w:pgSz w:w="12240" w:h="15840" w:orient="portrait"/>
          <w:pgMar w:top="1440" w:right="1440" w:bottom="1440" w:left="1440" w:header="708" w:footer="708" w:gutter="0"/>
          <w:pgNumType/>
          <w:docGrid w:linePitch="360"/>
        </w:sectPr>
      </w:pPr>
    </w:p>
    <w:p>
      <w:pPr>
        <w:spacing w:after="200"/>
      </w:pPr>
      <w:r>
        <w:rPr>
          <w:rFonts w:ascii="Roboto Slab" w:cs="Roboto Slab" w:eastAsia="Roboto Slab" w:hAnsi="Roboto Slab"/>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5B6" w:sz="18"/>
        </w:pBdr>
        <w:shd w:fill="F5F7FA" w:val="clear"/>
        <w:spacing w:after="120" w:line="276"/>
        <w:ind w:left="180"/>
      </w:pPr>
      <w:r>
        <w:rPr>
          <w:rFonts w:ascii="Roboto" w:cs="Roboto" w:eastAsia="Roboto" w:hAnsi="Roboto"/>
          <w:i/>
          <w:iCs/>
          <w:color w:val="595959"/>
          <w:sz w:val="20"/>
          <w:szCs w:val="20"/>
        </w:rPr>
        <w:t xml:space="preserve">This table of contents is auto-generated. After completing the packet, right-click it and choose “Update Field → Update entire table,” or press Ctrl+A then F9.</w:t>
      </w:r>
    </w:p>
    <w:p>
      <w:pPr>
        <w:sectPr>
          <w:type w:val="nextPage"/>
          <w:pgSz w:w="12240" w:h="15840" w:orient="portrait"/>
          <w:pgMar w:top="1440" w:right="1440" w:bottom="1440" w:left="1440" w:header="708" w:footer="708" w:gutter="0"/>
          <w:pgNumType/>
          <w:docGrid w:linePitch="360"/>
        </w:sectPr>
      </w:pPr>
    </w:p>
    <w:p>
      <w:pPr>
        <w:spacing w:after="80" w:before="200"/>
      </w:pPr>
      <w:r>
        <w:rPr>
          <w:rFonts w:ascii="Roboto Slab" w:cs="Roboto Slab" w:eastAsia="Roboto Slab" w:hAnsi="Roboto Slab"/>
          <w:b/>
          <w:bCs/>
          <w:color w:val="1F4E79"/>
          <w:sz w:val="48"/>
          <w:szCs w:val="48"/>
        </w:rPr>
        <w:t xml:space="preserve">PART I</w:t>
      </w:r>
    </w:p>
    <w:p>
      <w:pPr>
        <w:pBdr>
          <w:bottom w:val="single" w:color="1F4E79" w:sz="12"/>
        </w:pBdr>
        <w:spacing w:after="60"/>
      </w:pPr>
      <w:r>
        <w:rPr>
          <w:rFonts w:ascii="Roboto Slab" w:cs="Roboto Slab" w:eastAsia="Roboto Slab" w:hAnsi="Roboto Slab"/>
          <w:b/>
          <w:bCs/>
          <w:color w:val="1F4E79"/>
          <w:sz w:val="32"/>
          <w:szCs w:val="32"/>
        </w:rPr>
        <w:t xml:space="preserve">The Internal Packet</w:t>
      </w:r>
    </w:p>
    <w:p>
      <w:pPr>
        <w:spacing w:after="120" w:line="276"/>
      </w:pPr>
      <w:r>
        <w:rPr>
          <w:rFonts w:ascii="Roboto" w:cs="Roboto" w:eastAsia="Roboto" w:hAnsi="Roboto"/>
          <w:color w:val="1A1A1A"/>
          <w:sz w:val="22"/>
          <w:szCs w:val="22"/>
        </w:rPr>
        <w:t xml:space="preserve">Part I is what NEXUS keeps in the engagement file. It is internal — the client never sees it. Three components: your timesheet, your runbook, and your analyst reflection.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2E75B6"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2E75B6"/>
                <w:sz w:val="20"/>
                <w:szCs w:val="20"/>
              </w:rPr>
              <w:t xml:space="preserve">Audience</w:t>
            </w:r>
          </w:p>
          <w:p>
            <w:r>
              <w:rPr>
                <w:rFonts w:ascii="Roboto" w:cs="Roboto" w:eastAsia="Roboto" w:hAnsi="Roboto"/>
                <w:color w:val="1A1A1A"/>
                <w:sz w:val="21"/>
                <w:szCs w:val="21"/>
              </w:rPr>
              <w:t xml:space="preserve">NEXUS leadership and the next analyst. Write for colleagues, not the client.</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 NEXUS Timesheet</w:t>
      </w:r>
    </w:p>
    <w:p>
      <w:pPr>
        <w:spacing w:after="120" w:line="276"/>
      </w:pPr>
      <w:r>
        <w:rPr>
          <w:rFonts w:ascii="Roboto" w:cs="Roboto" w:eastAsia="Roboto" w:hAnsi="Roboto"/>
          <w:color w:val="1A1A1A"/>
          <w:sz w:val="22"/>
          <w:szCs w:val="22"/>
        </w:rPr>
        <w:t xml:space="preserve">Audience: NEXUS leadership / billing. Where did your hours go? Break hours out by unit, split between internal training (Units 1–2, non-billable) and client billable (Unit 3 fieldwork). Justify any unusually high or low hour count with a one-line note.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If you logged hours honestly as you went, this is a 10-minute fill-in. If you reconstruct it the night before, it will show — your scan dates, screenshot timestamps, and command history won’t line up with your claimed hours. Replace the demo rows below with your own. Total the columns yourself.</w:t>
      </w:r>
    </w:p>
    <w:p>
      <w:pPr>
        <w:spacing w:after="80"/>
      </w:pPr>
      <w:r>
        <w:t xml:space="preserve"/>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Week / Unit</w:t>
            </w:r>
          </w:p>
        </w:tc>
        <w:tc>
          <w:tcPr>
            <w:tcW w:type="pct" w:w="5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Task</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Type</w:t>
            </w:r>
          </w:p>
        </w:tc>
        <w:tc>
          <w:tcPr>
            <w:tcW w:type="pct" w:w="1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Hours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1</w:t>
            </w:r>
            <w:r>
              <w:br/>
            </w:r>
            <w:r>
              <w:rPr>
                <w:rFonts w:ascii="Roboto" w:cs="Roboto" w:eastAsia="Roboto" w:hAnsi="Roboto"/>
                <w:color w:val="1A1A1A"/>
                <w:sz w:val="20"/>
                <w:szCs w:val="20"/>
              </w:rPr>
              <w:t xml:space="preserve">Unit 1</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Kali VM install; hostname set to kali-abc123; VirtualBox host-only adapter; Lab 1.1 verification; screenshot/runbook scaffolding</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4.0</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2</w:t>
            </w:r>
            <w:r>
              <w:br/>
            </w:r>
            <w:r>
              <w:rPr>
                <w:rFonts w:ascii="Roboto" w:cs="Roboto" w:eastAsia="Roboto" w:hAnsi="Roboto"/>
                <w:color w:val="1A1A1A"/>
                <w:sz w:val="20"/>
                <w:szCs w:val="20"/>
              </w:rPr>
              <w:t xml:space="preserve">Unit 2</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nmap deep dive (-sS / -sV / -O); dirb / nikto / enum4linux practice vs. scanme.nmap.org; searchsploit workflow; tool inventory for runbook</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3.5</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Brazos Financial: full TCP scan (top-1000 ports); service version detection (-sV -sC --version-intensity 5)</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1.5</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Web recon (dirb, nikto, manual inspection); SMB enumeration (enum4linux)</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2.0</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Vulnerability research (searchsploit + CVE lookups); client deliverable (exec summary, 3 findings, risk analysis)</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2.5</w:t>
            </w:r>
          </w:p>
        </w:tc>
      </w:tr>
      <w:tr>
        <w:tc>
          <w:tcPr>
            <w:gridSpan w:val="2"/>
            <w:shd w:fill="1F4E79" w:val="clear"/>
            <w:tcMar>
              <w:top w:type="dxa" w:w="60"/>
              <w:left w:type="dxa" w:w="110"/>
              <w:bottom w:type="dxa" w:w="60"/>
              <w:right w:type="dxa" w:w="110"/>
            </w:tcMar>
            <w:vAlign w:val="center"/>
          </w:tcPr>
          <w:p>
            <w:pPr>
              <w:jc w:val="right"/>
            </w:pPr>
            <w:r>
              <w:rPr>
                <w:rFonts w:ascii="Roboto" w:cs="Roboto" w:eastAsia="Roboto" w:hAnsi="Roboto"/>
                <w:color w:val="1A1A1A"/>
                <w:sz w:val="20"/>
                <w:szCs w:val="20"/>
              </w:rPr>
              <w:t xml:space="preserve">TOTAL</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19"/>
                <w:szCs w:val="19"/>
              </w:rPr>
              <w:t xml:space="preserve">Internal 7.5  |  Billable 6.0</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20"/>
                <w:szCs w:val="20"/>
              </w:rPr>
              <w:t xml:space="preserve">13.5</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B. Internal Runbook</w:t>
      </w:r>
    </w:p>
    <w:p>
      <w:pPr>
        <w:spacing w:after="120" w:line="276"/>
      </w:pPr>
      <w:r>
        <w:rPr>
          <w:rFonts w:ascii="Roboto" w:cs="Roboto" w:eastAsia="Roboto" w:hAnsi="Roboto"/>
          <w:color w:val="1A1A1A"/>
          <w:sz w:val="22"/>
          <w:szCs w:val="22"/>
        </w:rPr>
        <w:t xml:space="preserve">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1E8449"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1E8449"/>
                <w:sz w:val="20"/>
                <w:szCs w:val="20"/>
              </w:rPr>
              <w:t xml:space="preserve">Good runbook test</w:t>
            </w:r>
          </w:p>
          <w:p>
            <w:r>
              <w:rPr>
                <w:rFonts w:ascii="Roboto" w:cs="Roboto" w:eastAsia="Roboto" w:hAnsi="Roboto"/>
                <w:color w:val="1A1A1A"/>
                <w:sz w:val="21"/>
                <w:szCs w:val="21"/>
              </w:rPr>
              <w:t xml:space="preserve">Screenshots are paired with the command that produced them. Commands live in code blocks, not prose. A reader who wasn’t there can tell what was working and what wasn’t.</w:t>
            </w:r>
          </w:p>
        </w:tc>
      </w:tr>
    </w:tbl>
    <w:p>
      <w:pPr>
        <w:spacing w:after="80"/>
      </w:pPr>
      <w:r>
        <w:t xml:space="preserve"/>
      </w:r>
    </w:p>
    <w:p>
      <w:pPr>
        <w:pStyle w:val="Heading2"/>
        <w:spacing w:after="120" w:before="240"/>
      </w:pPr>
      <w:r>
        <w:rPr>
          <w:rFonts w:ascii="Roboto Slab" w:cs="Roboto Slab" w:eastAsia="Roboto Slab" w:hAnsi="Roboto Slab"/>
          <w:b/>
          <w:bCs/>
          <w:color w:val="2E75B6"/>
          <w:sz w:val="24"/>
          <w:szCs w:val="24"/>
        </w:rPr>
        <w:t xml:space="preserve">Demo entry — nmap service version detection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is a model runbook entry. Replace it with your own entries for each tool/step in your engagement. Keep the structure: purpose, flags, the exact command as run, sample output, next steps, pitfalls.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7FA" w:val="clear"/>
            <w:tcMar>
              <w:top w:type="dxa" w:w="100"/>
              <w:left w:type="dxa" w:w="160"/>
              <w:bottom w:type="dxa" w:w="100"/>
              <w:right w:type="dxa" w:w="160"/>
            </w:tcMar>
          </w:tcPr>
          <w:p>
            <w:r>
              <w:rPr>
                <w:rFonts w:ascii="Roboto Mono" w:cs="Roboto Mono" w:eastAsia="Roboto Mono" w:hAnsi="Roboto Mono"/>
                <w:color w:val="1A1A1A"/>
                <w:sz w:val="17"/>
                <w:szCs w:val="17"/>
              </w:rPr>
              <w:t xml:space="preserve">NMAP SERVICE VERSION DETECTION</w:t>
            </w:r>
            <w:r>
              <w:br/>
            </w:r>
            <w:r>
              <w:rPr>
                <w:rFonts w:ascii="Roboto Mono" w:cs="Roboto Mono" w:eastAsia="Roboto Mono" w:hAnsi="Roboto Mono"/>
                <w:color w:val="1A1A1A"/>
                <w:sz w:val="17"/>
                <w:szCs w:val="17"/>
              </w:rPr>
              <w:t xml:space="preserve">------------------------------------------------------------</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Purpose: Identify running services and their specific versions.</w:t>
            </w:r>
            <w:r>
              <w:br/>
            </w:r>
            <w:r>
              <w:rPr>
                <w:rFonts w:ascii="Roboto Mono" w:cs="Roboto Mono" w:eastAsia="Roboto Mono" w:hAnsi="Roboto Mono"/>
                <w:color w:val="1A1A1A"/>
                <w:sz w:val="17"/>
                <w:szCs w:val="17"/>
              </w:rPr>
              <w:t xml:space="preserve">Version info is the bridge from "this port is open" to</w:t>
            </w:r>
            <w:r>
              <w:br/>
            </w:r>
            <w:r>
              <w:rPr>
                <w:rFonts w:ascii="Roboto Mono" w:cs="Roboto Mono" w:eastAsia="Roboto Mono" w:hAnsi="Roboto Mono"/>
                <w:color w:val="1A1A1A"/>
                <w:sz w:val="17"/>
                <w:szCs w:val="17"/>
              </w:rPr>
              <w:t xml:space="preserve">"this port has CVE-XXXX-XXXXX."</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Recommended flags:</w:t>
            </w:r>
            <w:r>
              <w:br/>
            </w:r>
            <w:r>
              <w:rPr>
                <w:rFonts w:ascii="Roboto Mono" w:cs="Roboto Mono" w:eastAsia="Roboto Mono" w:hAnsi="Roboto Mono"/>
                <w:color w:val="1A1A1A"/>
                <w:sz w:val="17"/>
                <w:szCs w:val="17"/>
              </w:rPr>
              <w:t xml:space="preserve">  -sV                     Service version detection</w:t>
            </w:r>
            <w:r>
              <w:br/>
            </w:r>
            <w:r>
              <w:rPr>
                <w:rFonts w:ascii="Roboto Mono" w:cs="Roboto Mono" w:eastAsia="Roboto Mono" w:hAnsi="Roboto Mono"/>
                <w:color w:val="1A1A1A"/>
                <w:sz w:val="17"/>
                <w:szCs w:val="17"/>
              </w:rPr>
              <w:t xml:space="preserve">  -sC                     Default scripts (safe recon)</w:t>
            </w:r>
            <w:r>
              <w:br/>
            </w:r>
            <w:r>
              <w:rPr>
                <w:rFonts w:ascii="Roboto Mono" w:cs="Roboto Mono" w:eastAsia="Roboto Mono" w:hAnsi="Roboto Mono"/>
                <w:color w:val="1A1A1A"/>
                <w:sz w:val="17"/>
                <w:szCs w:val="17"/>
              </w:rPr>
              <w:t xml:space="preserve">  --version-intensity 5   Thorough probing (1-9, 5 = balanced)</w:t>
            </w:r>
            <w:r>
              <w:br/>
            </w:r>
            <w:r>
              <w:rPr>
                <w:rFonts w:ascii="Roboto Mono" w:cs="Roboto Mono" w:eastAsia="Roboto Mono" w:hAnsi="Roboto Mono"/>
                <w:color w:val="1A1A1A"/>
                <w:sz w:val="17"/>
                <w:szCs w:val="17"/>
              </w:rPr>
              <w:t xml:space="preserve">  -oN output.txt          Save human-readable output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Full engagement command (as run on Brazos):</w:t>
            </w:r>
            <w:r>
              <w:br/>
            </w:r>
            <w:r>
              <w:rPr>
                <w:rFonts w:ascii="Roboto Mono" w:cs="Roboto Mono" w:eastAsia="Roboto Mono" w:hAnsi="Roboto Mono"/>
                <w:color w:val="1A1A1A"/>
                <w:sz w:val="17"/>
                <w:szCs w:val="17"/>
              </w:rPr>
              <w:t xml:space="preserve">  nmap -sV -sC --version-intensity 5 -oN brazos-svc.txt 10.0.0.50</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Sample output excerpt:</w:t>
            </w:r>
            <w:r>
              <w:br/>
            </w:r>
            <w:r>
              <w:rPr>
                <w:rFonts w:ascii="Roboto Mono" w:cs="Roboto Mono" w:eastAsia="Roboto Mono" w:hAnsi="Roboto Mono"/>
                <w:color w:val="1A1A1A"/>
                <w:sz w:val="17"/>
                <w:szCs w:val="17"/>
              </w:rPr>
              <w:t xml:space="preserve">  PORT      STATE  SERVICE  VERSION</w:t>
            </w:r>
            <w:r>
              <w:br/>
            </w:r>
            <w:r>
              <w:rPr>
                <w:rFonts w:ascii="Roboto Mono" w:cs="Roboto Mono" w:eastAsia="Roboto Mono" w:hAnsi="Roboto Mono"/>
                <w:color w:val="1A1A1A"/>
                <w:sz w:val="17"/>
                <w:szCs w:val="17"/>
              </w:rPr>
              <w:t xml:space="preserve">  22/tcp    open   ssh      OpenSSH 8.9p1 Ubuntu 3</w:t>
            </w:r>
            <w:r>
              <w:br/>
            </w:r>
            <w:r>
              <w:rPr>
                <w:rFonts w:ascii="Roboto Mono" w:cs="Roboto Mono" w:eastAsia="Roboto Mono" w:hAnsi="Roboto Mono"/>
                <w:color w:val="1A1A1A"/>
                <w:sz w:val="17"/>
                <w:szCs w:val="17"/>
              </w:rPr>
              <w:t xml:space="preserve">  80/tcp    open   http     Apache httpd 2.4.29     &lt;- flag this</w:t>
            </w:r>
            <w:r>
              <w:br/>
            </w:r>
            <w:r>
              <w:rPr>
                <w:rFonts w:ascii="Roboto Mono" w:cs="Roboto Mono" w:eastAsia="Roboto Mono" w:hAnsi="Roboto Mono"/>
                <w:color w:val="1A1A1A"/>
                <w:sz w:val="17"/>
                <w:szCs w:val="17"/>
              </w:rPr>
              <w:t xml:space="preserve">  3306/tcp  open   mysql    MySQL 5.7.42            &lt;- EOL, research CVEs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Next steps after scan:</w:t>
            </w:r>
            <w:r>
              <w:br/>
            </w:r>
            <w:r>
              <w:rPr>
                <w:rFonts w:ascii="Roboto Mono" w:cs="Roboto Mono" w:eastAsia="Roboto Mono" w:hAnsi="Roboto Mono"/>
                <w:color w:val="1A1A1A"/>
                <w:sz w:val="17"/>
                <w:szCs w:val="17"/>
              </w:rPr>
              <w:t xml:space="preserve">  1. Record every service version in your findings doc</w:t>
            </w:r>
            <w:r>
              <w:br/>
            </w:r>
            <w:r>
              <w:rPr>
                <w:rFonts w:ascii="Roboto Mono" w:cs="Roboto Mono" w:eastAsia="Roboto Mono" w:hAnsi="Roboto Mono"/>
                <w:color w:val="1A1A1A"/>
                <w:sz w:val="17"/>
                <w:szCs w:val="17"/>
              </w:rPr>
              <w:t xml:space="preserve">  2. Search NVD/CVE databases for each version</w:t>
            </w:r>
            <w:r>
              <w:br/>
            </w:r>
            <w:r>
              <w:rPr>
                <w:rFonts w:ascii="Roboto Mono" w:cs="Roboto Mono" w:eastAsia="Roboto Mono" w:hAnsi="Roboto Mono"/>
                <w:color w:val="1A1A1A"/>
                <w:sz w:val="17"/>
                <w:szCs w:val="17"/>
              </w:rPr>
              <w:t xml:space="preserve">  3. Flag any version that is EOL or has known CVEs</w:t>
            </w:r>
            <w:r>
              <w:br/>
            </w:r>
            <w:r>
              <w:rPr>
                <w:rFonts w:ascii="Roboto Mono" w:cs="Roboto Mono" w:eastAsia="Roboto Mono" w:hAnsi="Roboto Mono"/>
                <w:color w:val="1A1A1A"/>
                <w:sz w:val="17"/>
                <w:szCs w:val="17"/>
              </w:rPr>
              <w:t xml:space="preserve">  4. Cross-reference against searchsploit for exploits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Pitfalls observed: --version-intensity 9 took ~3x longer for</w:t>
            </w:r>
            <w:r>
              <w:br/>
            </w:r>
            <w:r>
              <w:rPr>
                <w:rFonts w:ascii="Roboto Mono" w:cs="Roboto Mono" w:eastAsia="Roboto Mono" w:hAnsi="Roboto Mono"/>
                <w:color w:val="1A1A1A"/>
                <w:sz w:val="17"/>
                <w:szCs w:val="17"/>
              </w:rPr>
              <w:t xml:space="preserve">negligible extra detail on this target; 5 was the right balance.</w:t>
            </w:r>
          </w:p>
        </w:tc>
      </w:tr>
    </w:tbl>
    <w:p>
      <w:pPr>
        <w:spacing w:after="120" w:line="276"/>
      </w:pPr>
      <w:r>
        <w:rPr>
          <w:rFonts w:ascii="Roboto" w:cs="Roboto" w:eastAsia="Roboto" w:hAnsi="Roboto"/>
          <w:i/>
          <w:iCs/>
          <w:color w:val="595959"/>
          <w:sz w:val="22"/>
          <w:szCs w:val="22"/>
        </w:rPr>
        <w:t xml:space="preserve">[Screenshot here — Figure 1: terminal showing the nmap command above and its output, with kali-abc123 visible in the prompt.]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C. Analyst Reflection</w:t>
      </w:r>
    </w:p>
    <w:p>
      <w:pPr>
        <w:spacing w:after="120" w:line="276"/>
      </w:pPr>
      <w:r>
        <w:rPr>
          <w:rFonts w:ascii="Roboto" w:cs="Roboto" w:eastAsia="Roboto" w:hAnsi="Roboto"/>
          <w:color w:val="1A1A1A"/>
          <w:sz w:val="22"/>
          <w:szCs w:val="22"/>
        </w:rPr>
        <w:t xml:space="preserve">Audience: you and your instructor. This is where the learning lives. Three prompts — answer all three honestly.</w:t>
      </w:r>
    </w:p>
    <w:p>
      <w:pPr>
        <w:pStyle w:val="Heading2"/>
        <w:spacing w:after="120" w:before="240"/>
      </w:pPr>
      <w:r>
        <w:rPr>
          <w:rFonts w:ascii="Roboto Slab" w:cs="Roboto Slab" w:eastAsia="Roboto Slab" w:hAnsi="Roboto Slab"/>
          <w:b/>
          <w:bCs/>
          <w:color w:val="2E75B6"/>
          <w:sz w:val="24"/>
          <w:szCs w:val="24"/>
        </w:rPr>
        <w:t xml:space="preserve">1. Timesheet Self-Audit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pPr>
        <w:spacing w:after="120"/>
      </w:pPr>
      <w:r>
        <w:rPr>
          <w:rFonts w:ascii="Roboto" w:cs="Roboto" w:eastAsia="Roboto" w:hAnsi="Roboto"/>
          <w:i/>
          <w:iCs/>
          <w:color w:val="595959"/>
          <w:sz w:val="22"/>
          <w:szCs w:val="22"/>
        </w:rPr>
        <w:t xml:space="preserve">[Your timesheet self-audit here.]</w:t>
      </w:r>
    </w:p>
    <w:p>
      <w:pPr>
        <w:pStyle w:val="Heading2"/>
        <w:spacing w:after="120" w:before="240"/>
      </w:pPr>
      <w:r>
        <w:rPr>
          <w:rFonts w:ascii="Roboto Slab" w:cs="Roboto Slab" w:eastAsia="Roboto Slab" w:hAnsi="Roboto Slab"/>
          <w:b/>
          <w:bCs/>
          <w:color w:val="2E75B6"/>
          <w:sz w:val="24"/>
          <w:szCs w:val="24"/>
        </w:rPr>
        <w:t xml:space="preserve">2. Professional Reflection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What worked? What didn’t? If you ran this engagement again with what you know now, what would you do differently? Be specific — “I’d communicate findings to the client earlier” beats “I’d be more organized.”</w:t>
      </w:r>
    </w:p>
    <w:p>
      <w:pPr>
        <w:spacing w:after="120"/>
      </w:pPr>
      <w:r>
        <w:rPr>
          <w:rFonts w:ascii="Roboto" w:cs="Roboto" w:eastAsia="Roboto" w:hAnsi="Roboto"/>
          <w:i/>
          <w:iCs/>
          <w:color w:val="595959"/>
          <w:sz w:val="22"/>
          <w:szCs w:val="22"/>
        </w:rPr>
        <w:t xml:space="preserve">[Your professional reflection here.]</w:t>
      </w:r>
    </w:p>
    <w:p>
      <w:pPr>
        <w:pStyle w:val="Heading2"/>
        <w:spacing w:after="120" w:before="240"/>
      </w:pPr>
      <w:r>
        <w:rPr>
          <w:rFonts w:ascii="Roboto Slab" w:cs="Roboto Slab" w:eastAsia="Roboto Slab" w:hAnsi="Roboto Slab"/>
          <w:b/>
          <w:bCs/>
          <w:color w:val="2E75B6"/>
          <w:sz w:val="24"/>
          <w:szCs w:val="24"/>
        </w:rPr>
        <w:t xml:space="preserve">3. AI Methodology Reflection</w:t>
      </w:r>
    </w:p>
    <w:p>
      <w:pPr>
        <w:spacing w:after="120" w:line="276"/>
      </w:pPr>
      <w:r>
        <w:rPr>
          <w:rFonts w:ascii="Roboto" w:cs="Roboto" w:eastAsia="Roboto" w:hAnsi="Roboto"/>
          <w:i/>
          <w:iCs/>
          <w:color w:val="1A1A1A"/>
          <w:sz w:val="22"/>
          <w:szCs w:val="22"/>
        </w:rPr>
        <w:t xml:space="preserve">Where did AI help you on this engagement, how did you verify what it told you, and did you really need 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There’s no minimum word count — answer honestly. “I didn’t use AI on this engagement (N/A)” is perfectly acceptable if it’s true. But it had better be true — don’t claim N/A if your runbook is full of AI-generated explanations.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1E8449"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1E8449"/>
                <w:sz w:val="20"/>
                <w:szCs w:val="20"/>
              </w:rPr>
              <w:t xml:space="preserve">What a good reflection looks like</w:t>
            </w:r>
          </w:p>
          <w:p>
            <w:r>
              <w:rPr>
                <w:rFonts w:ascii="Roboto" w:cs="Roboto" w:eastAsia="Roboto" w:hAnsi="Roboto"/>
                <w:color w:val="1A1A1A"/>
                <w:sz w:val="21"/>
                <w:szCs w:val="21"/>
              </w:rPr>
              <w:t xml:space="preserve">“I asked Claude to explain what the -sS flag does in nmap. It said SYN-scan that doesn’t complete the TCP handshake. I verified against the nmap man page (man nmap, lines 124–138) and confirmed it. In hindsight reading the man page first would have been faster, since I had to read it anyway to verify. For Module 2 I’m going to try man page first, AI second.”</w:t>
            </w:r>
          </w:p>
        </w:tc>
      </w:tr>
    </w:tbl>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C0392B"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C0392B"/>
                <w:sz w:val="20"/>
                <w:szCs w:val="20"/>
              </w:rPr>
              <w:t xml:space="preserve">What to avoid</w:t>
            </w:r>
          </w:p>
          <w:p>
            <w:r>
              <w:rPr>
                <w:rFonts w:ascii="Roboto" w:cs="Roboto" w:eastAsia="Roboto" w:hAnsi="Roboto"/>
                <w:color w:val="1A1A1A"/>
                <w:sz w:val="21"/>
                <w:szCs w:val="21"/>
              </w:rPr>
              <w:t xml:space="preserve">“I used AI to help me understand the concepts. It was very helpful for explaining things and helped me learn the material. I verified its responses by cross-checking with the textbook and online sources. AI is a powerful tool I will continue to use as I develop my skills.” — generic, unverified, performative. Don’t do this.</w:t>
            </w:r>
          </w:p>
        </w:tc>
      </w:tr>
    </w:tbl>
    <w:p>
      <w:pPr>
        <w:spacing w:after="60"/>
      </w:pPr>
      <w:r>
        <w:t xml:space="preserve"/>
      </w:r>
    </w:p>
    <w:p>
      <w:pPr>
        <w:spacing w:after="120"/>
      </w:pPr>
      <w:r>
        <w:rPr>
          <w:rFonts w:ascii="Roboto" w:cs="Roboto" w:eastAsia="Roboto" w:hAnsi="Roboto"/>
          <w:i/>
          <w:iCs/>
          <w:color w:val="595959"/>
          <w:sz w:val="22"/>
          <w:szCs w:val="22"/>
        </w:rPr>
        <w:t xml:space="preserve">[Your AI methodology reflection here — or a truthful N/A.]</w:t>
      </w:r>
    </w:p>
    <w:p>
      <w:r>
        <w:br w:type="page"/>
      </w:r>
    </w:p>
    <w:p>
      <w:pPr>
        <w:spacing w:after="40" w:before="240"/>
        <w:jc w:val="center"/>
      </w:pPr>
      <w:r>
        <w:rPr>
          <w:rFonts w:ascii="Roboto" w:cs="Roboto" w:eastAsia="Roboto" w:hAnsi="Roboto"/>
          <w:b/>
          <w:bCs/>
          <w:color w:val="595959"/>
          <w:spacing w:val="30"/>
          <w:sz w:val="18"/>
          <w:szCs w:val="18"/>
        </w:rPr>
        <w:t xml:space="preserve">PART II — CLIENT DELIVERABLE</w:t>
      </w:r>
    </w:p>
    <w:p>
      <w:pPr>
        <w:spacing w:after="160"/>
      </w:pPr>
      <w:r>
        <w:t xml:space="preserve"/>
      </w:r>
    </w:p>
    <w:p>
      <w:pPr>
        <w:jc w:val="center"/>
      </w:pPr>
      <w:r>
        <w:drawing>
          <wp:inline distT="0" distB="0" distL="0" distR="0">
            <wp:extent cx="16478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619250"/>
                    </a:xfrm>
                    <a:prstGeom prst="rect">
                      <a:avLst/>
                    </a:prstGeom>
                  </pic:spPr>
                </pic:pic>
              </a:graphicData>
            </a:graphic>
          </wp:inline>
        </w:drawing>
      </w:r>
    </w:p>
    <w:p>
      <w:pPr>
        <w:spacing w:after="40" w:before="80"/>
        <w:jc w:val="center"/>
      </w:pPr>
      <w:r>
        <w:rPr>
          <w:rFonts w:ascii="Roboto Slab" w:cs="Roboto Slab" w:eastAsia="Roboto Slab" w:hAnsi="Roboto Slab"/>
          <w:b/>
          <w:bCs/>
          <w:color w:val="184D3A"/>
          <w:sz w:val="30"/>
          <w:szCs w:val="30"/>
        </w:rPr>
        <w:t xml:space="preserve">BRAZOS FINANCIAL GROUP</w:t>
      </w:r>
    </w:p>
    <w:tbl>
      <w:tblPr>
        <w:tblW w:type="pct" w:w="5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84D3A" w:val="clear"/>
            <w:tcMar>
              <w:top w:type="dxa" w:w="24"/>
              <w:bottom w:type="dxa" w:w="24"/>
            </w:tcMar>
          </w:tcPr>
          <w:p>
            <w:r>
              <w:rPr>
                <w:sz w:val="6"/>
                <w:szCs w:val="6"/>
              </w:rPr>
              <w:t xml:space="preserve"/>
            </w:r>
          </w:p>
        </w:tc>
      </w:tr>
    </w:tbl>
    <w:p>
      <w:pPr>
        <w:spacing w:after="420"/>
      </w:pPr>
      <w:r>
        <w:t xml:space="preserve"/>
      </w:r>
    </w:p>
    <w:p>
      <w:pPr>
        <w:spacing w:after="60"/>
        <w:jc w:val="center"/>
      </w:pPr>
      <w:r>
        <w:rPr>
          <w:rFonts w:ascii="Roboto Slab" w:cs="Roboto Slab" w:eastAsia="Roboto Slab" w:hAnsi="Roboto Slab"/>
          <w:b/>
          <w:bCs/>
          <w:color w:val="1F4E79"/>
          <w:sz w:val="40"/>
          <w:szCs w:val="40"/>
        </w:rPr>
        <w:t xml:space="preserve">External Attack Surface Assessment</w:t>
      </w:r>
    </w:p>
    <w:p>
      <w:pPr>
        <w:spacing w:after="40"/>
        <w:jc w:val="center"/>
      </w:pPr>
      <w:r>
        <w:rPr>
          <w:rFonts w:ascii="Roboto" w:cs="Roboto" w:eastAsia="Roboto" w:hAnsi="Roboto"/>
          <w:color w:val="595959"/>
          <w:sz w:val="26"/>
          <w:szCs w:val="26"/>
        </w:rPr>
        <w:t xml:space="preserve">Security Engagement Report</w:t>
      </w:r>
    </w:p>
    <w:p>
      <w:pPr>
        <w:spacing w:after="480"/>
        <w:jc w:val="center"/>
      </w:pPr>
      <w:r>
        <w:rPr>
          <w:rFonts w:ascii="Roboto" w:cs="Roboto" w:eastAsia="Roboto" w:hAnsi="Roboto"/>
          <w:i/>
          <w:iCs/>
          <w:color w:val="595959"/>
          <w:sz w:val="22"/>
          <w:szCs w:val="22"/>
        </w:rPr>
        <w:t xml:space="preserve">Module 1 — Reconnaissance</w:t>
      </w:r>
    </w:p>
    <w:p>
      <w:pPr>
        <w:spacing w:after="360"/>
      </w:pPr>
      <w:r>
        <w:t xml:space="preserve"/>
      </w:r>
    </w:p>
    <w:tbl>
      <w:tblPr>
        <w:tblW w:type="pct" w:w="76%"/>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4%"/>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for</w:t>
            </w:r>
          </w:p>
        </w:tc>
        <w:tc>
          <w:tcPr>
            <w:tcW w:type="pct" w:w="66%"/>
            <w:tcMar>
              <w:top w:type="dxa" w:w="60"/>
              <w:left w:type="dxa" w:w="110"/>
              <w:bottom w:type="dxa" w:w="60"/>
              <w:right w:type="dxa" w:w="110"/>
            </w:tcMar>
            <w:vAlign w:val="center"/>
          </w:tcPr>
          <w:p>
            <w:r>
              <w:rPr>
                <w:rFonts w:ascii="Roboto" w:cs="Roboto" w:eastAsia="Roboto" w:hAnsi="Roboto"/>
                <w:color w:val="1A1A1A"/>
                <w:sz w:val="20"/>
                <w:szCs w:val="20"/>
              </w:rPr>
              <w:t xml:space="preserve">Brazos Financial Group</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by</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NEXUS Security Consulting</w:t>
            </w:r>
            <w:r>
              <w:br/>
            </w:r>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Classification</w:t>
            </w:r>
          </w:p>
        </w:tc>
        <w:tc>
          <w:tcPr>
            <w:tcMar>
              <w:top w:type="dxa" w:w="60"/>
              <w:left w:type="dxa" w:w="110"/>
              <w:bottom w:type="dxa" w:w="60"/>
              <w:right w:type="dxa" w:w="110"/>
            </w:tcMar>
            <w:vAlign w:val="center"/>
          </w:tcPr>
          <w:p>
            <w:r>
              <w:rPr>
                <w:rFonts w:ascii="Roboto" w:cs="Roboto" w:eastAsia="Roboto" w:hAnsi="Roboto"/>
                <w:b/>
                <w:bCs/>
                <w:color w:val="C00000"/>
                <w:sz w:val="20"/>
                <w:szCs w:val="20"/>
              </w:rPr>
              <w:t xml:space="preserve">CONFIDENTIAL — Client Use Only</w:t>
            </w:r>
          </w:p>
        </w:tc>
      </w:tr>
    </w:tbl>
    <w:p>
      <w:pPr>
        <w:spacing w:after="200"/>
      </w:pPr>
      <w:r>
        <w:t xml:space="preserve"/>
      </w:r>
    </w:p>
    <w:p>
      <w:pPr>
        <w:spacing w:before="240"/>
        <w:jc w:val="center"/>
      </w:pPr>
      <w:r>
        <w:rPr>
          <w:rFonts w:ascii="Roboto" w:cs="Roboto" w:eastAsia="Roboto" w:hAnsi="Roboto"/>
          <w:color w:val="595959"/>
          <w:sz w:val="16"/>
          <w:szCs w:val="16"/>
        </w:rPr>
        <w:t xml:space="preserve">Prepared by NEXUS Security Consulting</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page is the cover of the client-facing report. Everything from here to the Appendix is what Brazos receives — it should read as a standalone professional deliverable, independent of Part I.</w:t>
      </w:r>
    </w:p>
    <w:p>
      <w:r>
        <w:br w:type="page"/>
      </w:r>
    </w:p>
    <w:p>
      <w:pPr>
        <w:pBdr>
          <w:bottom w:val="single" w:color="2E75B6" w:sz="12"/>
        </w:pBdr>
        <w:spacing w:after="60" w:before="120"/>
      </w:pPr>
      <w:r>
        <w:rPr>
          <w:rFonts w:ascii="Roboto Slab" w:cs="Roboto Slab" w:eastAsia="Roboto Slab" w:hAnsi="Roboto Slab"/>
          <w:b/>
          <w:bCs/>
          <w:color w:val="2E75B6"/>
          <w:sz w:val="32"/>
          <w:szCs w:val="32"/>
        </w:rPr>
        <w:t xml:space="preserve">The Client Deliverable</w:t>
      </w:r>
    </w:p>
    <w:p>
      <w:pPr>
        <w:spacing w:after="120" w:line="276"/>
      </w:pPr>
      <w:r>
        <w:rPr>
          <w:rFonts w:ascii="Roboto" w:cs="Roboto" w:eastAsia="Roboto" w:hAnsi="Roboto"/>
          <w:color w:val="1A1A1A"/>
          <w:sz w:val="22"/>
          <w:szCs w:val="22"/>
        </w:rPr>
        <w:t xml:space="preserve">Part II is the document you hand the client. It follows professional penetration-test reporting conventions — the client should be able to read the executive summary alone and know what to do. Use this structure; don’t invent your own.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single" w:color="2E75B6" w:sz="24"/>
              <w:bottom w:val="none" w:color="FFFFFF" w:sz="0"/>
              <w:right w:val="none" w:color="FFFFFF" w:sz="0"/>
            </w:tcBorders>
            <w:shd w:fill="F5F7FA" w:val="clear"/>
            <w:tcMar>
              <w:top w:type="dxa" w:w="120"/>
              <w:left w:type="dxa" w:w="200"/>
              <w:bottom w:type="dxa" w:w="120"/>
              <w:right w:type="dxa" w:w="200"/>
            </w:tcMar>
          </w:tcPr>
          <w:p>
            <w:pPr>
              <w:spacing w:after="40"/>
            </w:pPr>
            <w:r>
              <w:rPr>
                <w:rFonts w:ascii="Roboto" w:cs="Roboto" w:eastAsia="Roboto" w:hAnsi="Roboto"/>
                <w:b/>
                <w:bCs/>
                <w:color w:val="2E75B6"/>
                <w:sz w:val="20"/>
                <w:szCs w:val="20"/>
              </w:rPr>
              <w:t xml:space="preserve">Audience</w:t>
            </w:r>
          </w:p>
          <w:p>
            <w:r>
              <w:rPr>
                <w:rFonts w:ascii="Roboto" w:cs="Roboto" w:eastAsia="Roboto" w:hAnsi="Roboto"/>
                <w:color w:val="1A1A1A"/>
                <w:sz w:val="21"/>
                <w:szCs w:val="21"/>
              </w:rPr>
              <w:t xml:space="preserve">Brazos Financial leadership — mostly non-technical. Lead with business impact, not command syntax.</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Executive Summary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page maximum, board-readable. What we did, what we found, and what to do about it — in plain language. A non-technical executive should understand the risk and the next step without reading the rest of the report.</w:t>
      </w:r>
    </w:p>
    <w:p>
      <w:pPr>
        <w:spacing w:after="120"/>
      </w:pPr>
      <w:r>
        <w:rPr>
          <w:rFonts w:ascii="Roboto" w:cs="Roboto" w:eastAsia="Roboto" w:hAnsi="Roboto"/>
          <w:i/>
          <w:iCs/>
          <w:color w:val="595959"/>
          <w:sz w:val="22"/>
          <w:szCs w:val="22"/>
        </w:rPr>
        <w:t xml:space="preserve">[Your executive summary here — one page maximum.]</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Methodology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A brief overview of how the engagement was conducted — scope, approach, tools at a high level. The client does not need command-by-command detail; that lives in your runbook (Part I.B).</w:t>
      </w:r>
    </w:p>
    <w:p>
      <w:pPr>
        <w:spacing w:after="120"/>
      </w:pPr>
      <w:r>
        <w:rPr>
          <w:rFonts w:ascii="Roboto" w:cs="Roboto" w:eastAsia="Roboto" w:hAnsi="Roboto"/>
          <w:i/>
          <w:iCs/>
          <w:color w:val="595959"/>
          <w:sz w:val="22"/>
          <w:szCs w:val="22"/>
        </w:rPr>
        <w:t xml:space="preserve">[Your methodology overview here.]</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Findings</w:t>
      </w:r>
    </w:p>
    <w:p>
      <w:pPr>
        <w:spacing w:after="120" w:line="276"/>
      </w:pPr>
      <w:r>
        <w:rPr>
          <w:rFonts w:ascii="Roboto" w:cs="Roboto" w:eastAsia="Roboto" w:hAnsi="Roboto"/>
          <w:color w:val="1A1A1A"/>
          <w:sz w:val="22"/>
          <w:szCs w:val="22"/>
        </w:rPr>
        <w:t xml:space="preserve">Organized by severity, highest first. Each finding has a number, title, severity, affected host/port, description, evidence (screenshot), impact, and recommendation.</w:t>
      </w:r>
    </w:p>
    <w:p>
      <w:pPr>
        <w:pStyle w:val="Heading2"/>
        <w:spacing w:after="120" w:before="240"/>
      </w:pPr>
      <w:r>
        <w:rPr>
          <w:rFonts w:ascii="Roboto Slab" w:cs="Roboto Slab" w:eastAsia="Roboto Slab" w:hAnsi="Roboto Slab"/>
          <w:b/>
          <w:bCs/>
          <w:color w:val="2E75B6"/>
          <w:sz w:val="24"/>
          <w:szCs w:val="24"/>
        </w:rPr>
        <w:t xml:space="preserve">Demo finding — model the structure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is a model Medium-severity finding. Replace it with your own findings, ordered highest severity first. Keep every field.</w:t>
      </w:r>
    </w:p>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D9D9" w:sz="4"/>
              <w:left w:val="single" w:color="D68910" w:sz="24"/>
              <w:bottom w:val="single" w:color="D9D9D9" w:sz="4"/>
              <w:right w:val="single" w:color="D9D9D9" w:sz="4"/>
            </w:tcBorders>
            <w:shd w:fill="F5F7FA" w:val="clear"/>
            <w:tcMar>
              <w:top w:type="dxa" w:w="140"/>
              <w:left w:type="dxa" w:w="200"/>
              <w:bottom w:type="dxa" w:w="140"/>
              <w:right w:type="dxa" w:w="200"/>
            </w:tcMar>
          </w:tcPr>
          <w:p>
            <w:pPr>
              <w:spacing w:after="60"/>
            </w:pPr>
            <w:r>
              <w:rPr>
                <w:rFonts w:ascii="Roboto Slab" w:cs="Roboto Slab" w:eastAsia="Roboto Slab" w:hAnsi="Roboto Slab"/>
                <w:b/>
                <w:bCs/>
                <w:color w:val="1F4E79"/>
                <w:sz w:val="22"/>
                <w:szCs w:val="22"/>
              </w:rPr>
              <w:t xml:space="preserve">FINDING 003 — Outdated Apache HTTP Server Exposes Multiple CVEs</w:t>
            </w:r>
          </w:p>
          <w:p>
            <w:pPr>
              <w:spacing w:after="100"/>
            </w:pPr>
            <w:r>
              <w:rPr>
                <w:rFonts w:ascii="Roboto" w:cs="Roboto" w:eastAsia="Roboto" w:hAnsi="Roboto"/>
                <w:b/>
                <w:bCs/>
                <w:color w:val="1A1A1A"/>
                <w:sz w:val="20"/>
                <w:szCs w:val="20"/>
              </w:rPr>
              <w:t xml:space="preserve">Severity: </w:t>
            </w:r>
            <w:r>
              <w:rPr>
                <w:rFonts w:ascii="Roboto" w:cs="Roboto" w:eastAsia="Roboto" w:hAnsi="Roboto"/>
                <w:b/>
                <w:bCs/>
                <w:color w:val="D68910"/>
                <w:sz w:val="20"/>
                <w:szCs w:val="20"/>
              </w:rPr>
              <w:t xml:space="preserve">Medium</w:t>
            </w:r>
            <w:r>
              <w:rPr>
                <w:rFonts w:ascii="Roboto" w:cs="Roboto" w:eastAsia="Roboto" w:hAnsi="Roboto"/>
                <w:color w:val="595959"/>
                <w:sz w:val="20"/>
                <w:szCs w:val="20"/>
              </w:rPr>
              <w:t xml:space="preserve">    Affected Host: brazos-external.local (10.0.0.50)    Port: 80/tcp</w:t>
            </w:r>
          </w:p>
          <w:p>
            <w:pPr>
              <w:spacing w:after="40"/>
            </w:pPr>
            <w:r>
              <w:rPr>
                <w:rFonts w:ascii="Roboto" w:cs="Roboto" w:eastAsia="Roboto" w:hAnsi="Roboto"/>
                <w:b/>
                <w:bCs/>
                <w:color w:val="2E75B6"/>
                <w:sz w:val="20"/>
                <w:szCs w:val="20"/>
              </w:rPr>
              <w:t xml:space="preserve">Description</w:t>
            </w:r>
          </w:p>
          <w:p>
            <w:pPr>
              <w:spacing w:after="100"/>
            </w:pPr>
            <w:r>
              <w:rPr>
                <w:rFonts w:ascii="Roboto" w:cs="Roboto" w:eastAsia="Roboto" w:hAnsi="Roboto"/>
                <w:color w:val="1A1A1A"/>
                <w:sz w:val="21"/>
                <w:szCs w:val="21"/>
              </w:rPr>
              <w:t xml:space="preserve">The Brazos Financial external web server is running Apache HTTP Server 2.4.29 (released March 2018). Versions prior to 2.4.55 are affected by multiple publicly disclosed vulnerabilities, including CVE-2022-31813 (mod_proxy header mishandling) and CVE-2022-22720 (HTTP request smuggling). Exploit code for several of these issues is publicly available.</w:t>
            </w:r>
          </w:p>
          <w:p>
            <w:pPr>
              <w:spacing w:after="40"/>
            </w:pPr>
            <w:r>
              <w:rPr>
                <w:rFonts w:ascii="Roboto" w:cs="Roboto" w:eastAsia="Roboto" w:hAnsi="Roboto"/>
                <w:b/>
                <w:bCs/>
                <w:color w:val="2E75B6"/>
                <w:sz w:val="20"/>
                <w:szCs w:val="20"/>
              </w:rPr>
              <w:t xml:space="preserve">Evidence</w:t>
            </w:r>
          </w:p>
          <w:p>
            <w:pPr>
              <w:spacing w:after="100"/>
            </w:pPr>
            <w:r>
              <w:rPr>
                <w:rFonts w:ascii="Roboto" w:cs="Roboto" w:eastAsia="Roboto" w:hAnsi="Roboto"/>
                <w:i/>
                <w:iCs/>
                <w:color w:val="595959"/>
                <w:sz w:val="21"/>
                <w:szCs w:val="21"/>
              </w:rPr>
              <w:t xml:space="preserve">See Figure 7 — nmap service-detection output showing “Apache httpd 2.4.29.” Full output in Appendix A.3.</w:t>
            </w:r>
          </w:p>
          <w:p>
            <w:pPr>
              <w:spacing w:after="40"/>
            </w:pPr>
            <w:r>
              <w:rPr>
                <w:rFonts w:ascii="Roboto" w:cs="Roboto" w:eastAsia="Roboto" w:hAnsi="Roboto"/>
                <w:b/>
                <w:bCs/>
                <w:color w:val="2E75B6"/>
                <w:sz w:val="20"/>
                <w:szCs w:val="20"/>
              </w:rPr>
              <w:t xml:space="preserve">Impact</w:t>
            </w:r>
          </w:p>
          <w:p>
            <w:pPr>
              <w:spacing w:after="100"/>
            </w:pPr>
            <w:r>
              <w:rPr>
                <w:rFonts w:ascii="Roboto" w:cs="Roboto" w:eastAsia="Roboto" w:hAnsi="Roboto"/>
                <w:color w:val="1A1A1A"/>
                <w:sz w:val="21"/>
                <w:szCs w:val="21"/>
              </w:rPr>
              <w:t xml:space="preserve">An attacker exploiting one of the disclosed Apache vulnerabilities could intercept or manipulate HTTP traffic to the Brazos external site, potentially exposing customer session data or enabling further attack chaining into the internal network.</w:t>
            </w:r>
          </w:p>
          <w:p>
            <w:pPr>
              <w:spacing w:after="40"/>
            </w:pPr>
            <w:r>
              <w:rPr>
                <w:rFonts w:ascii="Roboto" w:cs="Roboto" w:eastAsia="Roboto" w:hAnsi="Roboto"/>
                <w:b/>
                <w:bCs/>
                <w:color w:val="2E75B6"/>
                <w:sz w:val="20"/>
                <w:szCs w:val="20"/>
              </w:rPr>
              <w:t xml:space="preserve">Recommendation</w:t>
            </w:r>
          </w:p>
          <w:p>
            <w:r>
              <w:rPr>
                <w:rFonts w:ascii="Roboto" w:cs="Roboto" w:eastAsia="Roboto" w:hAnsi="Roboto"/>
                <w:color w:val="1A1A1A"/>
                <w:sz w:val="21"/>
                <w:szCs w:val="21"/>
              </w:rPr>
              <w:t xml:space="preserve">Upgrade Apache HTTP Server to 2.4.58 or later and establish a patch-review cadence so the public-facing server does not fall behind again.</w:t>
            </w:r>
          </w:p>
        </w:tc>
      </w:tr>
    </w:tbl>
    <w:p>
      <w:pPr>
        <w:spacing w:after="120"/>
      </w:pPr>
      <w:r>
        <w:t xml:space="preserve"/>
      </w:r>
    </w:p>
    <w:p>
      <w:pPr>
        <w:spacing w:after="120"/>
      </w:pPr>
      <w:r>
        <w:rPr>
          <w:rFonts w:ascii="Roboto" w:cs="Roboto" w:eastAsia="Roboto" w:hAnsi="Roboto"/>
          <w:i/>
          <w:iCs/>
          <w:color w:val="595959"/>
          <w:sz w:val="22"/>
          <w:szCs w:val="22"/>
        </w:rPr>
        <w:t xml:space="preserve">[Add your remaining findings here, highest severity first.]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Risk Analysis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Likelihood × impact for each finding. A simple table mapping each finding number to a likelihood, an impact, and a resulting risk rating is enough — keep it consistent with your severity labels in Findings.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Finding</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Likelihood</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Impact</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Risk Rating</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Priority</w:t>
            </w:r>
          </w:p>
        </w:tc>
      </w:tr>
      <w:tr>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003</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Moderate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Moderate</w:t>
            </w:r>
          </w:p>
        </w:tc>
        <w:tc>
          <w:tcPr>
            <w:tcMar>
              <w:top w:type="dxa" w:w="60"/>
              <w:left w:type="dxa" w:w="110"/>
              <w:bottom w:type="dxa" w:w="60"/>
              <w:right w:type="dxa" w:w="110"/>
            </w:tcMar>
            <w:vAlign w:val="center"/>
          </w:tcPr>
          <w:p>
            <w:pPr>
              <w:jc w:val="center"/>
            </w:pPr>
            <w:r>
              <w:rPr>
                <w:rFonts w:ascii="Roboto" w:cs="Roboto" w:eastAsia="Roboto" w:hAnsi="Roboto"/>
                <w:b/>
                <w:bCs/>
                <w:color w:val="D68910"/>
                <w:sz w:val="20"/>
                <w:szCs w:val="20"/>
              </w:rPr>
              <w:t xml:space="preserve">Medium</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2</w:t>
            </w:r>
          </w:p>
        </w:tc>
      </w:tr>
      <w:tr>
        <w:tc>
          <w:tcPr>
            <w:shd w:fill="FFFFFF" w:val="clea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Recommendations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Prioritized — what to do Monday vs. what to plan for the next budget cycle. Tie each recommendation back to a finding number so the client can trace it.</w:t>
      </w:r>
    </w:p>
    <w:p>
      <w:pPr>
        <w:pStyle w:val="ListParagraph"/>
        <w:numPr>
          <w:ilvl w:val="0"/>
          <w:numId w:val="2"/>
        </w:numPr>
        <w:spacing w:after="80"/>
      </w:pPr>
      <w:r>
        <w:rPr>
          <w:rFonts w:ascii="Roboto" w:cs="Roboto" w:eastAsia="Roboto" w:hAnsi="Roboto"/>
          <w:b/>
          <w:bCs/>
          <w:color w:val="1A1A1A"/>
          <w:sz w:val="22"/>
          <w:szCs w:val="22"/>
        </w:rPr>
        <w:t xml:space="preserve">This week: </w:t>
      </w:r>
      <w:r>
        <w:rPr>
          <w:rFonts w:ascii="Roboto" w:cs="Roboto" w:eastAsia="Roboto" w:hAnsi="Roboto"/>
          <w:color w:val="1A1A1A"/>
          <w:sz w:val="22"/>
          <w:szCs w:val="22"/>
        </w:rPr>
        <w:t xml:space="preserve">Upgrade the external Apache server (Finding 003) to 2.4.58+ and confirm the version externally.</w:t>
      </w:r>
    </w:p>
    <w:p>
      <w:pPr>
        <w:pStyle w:val="ListParagraph"/>
        <w:numPr>
          <w:ilvl w:val="0"/>
          <w:numId w:val="2"/>
        </w:numPr>
        <w:spacing w:after="80"/>
      </w:pPr>
      <w:r>
        <w:rPr>
          <w:rFonts w:ascii="Roboto" w:cs="Roboto" w:eastAsia="Roboto" w:hAnsi="Roboto"/>
          <w:b/>
          <w:bCs/>
          <w:color w:val="1A1A1A"/>
          <w:sz w:val="22"/>
          <w:szCs w:val="22"/>
        </w:rPr>
        <w:t xml:space="preserve">This quarter: </w:t>
      </w:r>
      <w:r>
        <w:rPr>
          <w:rFonts w:ascii="Roboto" w:cs="Roboto" w:eastAsia="Roboto" w:hAnsi="Roboto"/>
          <w:color w:val="1A1A1A"/>
          <w:sz w:val="22"/>
          <w:szCs w:val="22"/>
        </w:rPr>
        <w:t xml:space="preserve">Establish a patch-review cadence for all public-facing services.</w:t>
      </w:r>
    </w:p>
    <w:p>
      <w:pPr>
        <w:pStyle w:val="ListParagraph"/>
        <w:numPr>
          <w:ilvl w:val="0"/>
          <w:numId w:val="2"/>
        </w:numPr>
        <w:spacing w:after="80"/>
      </w:pPr>
      <w:r>
        <w:rPr>
          <w:rFonts w:ascii="Roboto" w:cs="Roboto" w:eastAsia="Roboto" w:hAnsi="Roboto"/>
          <w:i/>
          <w:iCs/>
          <w:color w:val="595959"/>
          <w:sz w:val="22"/>
          <w:szCs w:val="22"/>
        </w:rPr>
        <w:t xml:space="preserve">[Add your prioritized recommendations here, each tied to a finding number.]</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Appendix</w:t>
      </w:r>
    </w:p>
    <w:p>
      <w:pPr>
        <w:spacing w:after="120" w:line="276"/>
      </w:pPr>
      <w:r>
        <w:rPr>
          <w:rFonts w:ascii="Roboto" w:cs="Roboto" w:eastAsia="Roboto" w:hAnsi="Roboto"/>
          <w:color w:val="1A1A1A"/>
          <w:sz w:val="22"/>
          <w:szCs w:val="22"/>
        </w:rPr>
        <w:t xml:space="preserve">Supporting evidence that would disrupt the flow of the main report: raw (scrubbed) tool output, additional screenshots, and your references.</w:t>
      </w:r>
    </w:p>
    <w:p>
      <w:pPr>
        <w:pStyle w:val="Heading2"/>
        <w:spacing w:after="120" w:before="240"/>
      </w:pPr>
      <w:r>
        <w:rPr>
          <w:rFonts w:ascii="Roboto Slab" w:cs="Roboto Slab" w:eastAsia="Roboto Slab" w:hAnsi="Roboto Slab"/>
          <w:b/>
          <w:bCs/>
          <w:color w:val="2E75B6"/>
          <w:sz w:val="24"/>
          <w:szCs w:val="24"/>
        </w:rPr>
        <w:t xml:space="preserve">A. Raw Tool Output</w:t>
      </w:r>
    </w:p>
    <w:p>
      <w:pPr>
        <w:spacing w:after="120"/>
      </w:pPr>
      <w:r>
        <w:rPr>
          <w:rFonts w:ascii="Roboto" w:cs="Roboto" w:eastAsia="Roboto" w:hAnsi="Roboto"/>
          <w:i/>
          <w:iCs/>
          <w:color w:val="595959"/>
          <w:sz w:val="22"/>
          <w:szCs w:val="22"/>
        </w:rPr>
        <w:t xml:space="preserve">[Paste complete, scrubbed scan output here — the long results you summarized in Findings.]</w:t>
      </w:r>
    </w:p>
    <w:p>
      <w:pPr>
        <w:pStyle w:val="Heading2"/>
        <w:spacing w:after="120" w:before="240"/>
      </w:pPr>
      <w:r>
        <w:rPr>
          <w:rFonts w:ascii="Roboto Slab" w:cs="Roboto Slab" w:eastAsia="Roboto Slab" w:hAnsi="Roboto Slab"/>
          <w:b/>
          <w:bCs/>
          <w:color w:val="2E75B6"/>
          <w:sz w:val="24"/>
          <w:szCs w:val="24"/>
        </w:rPr>
        <w:t xml:space="preserve">B. Additional Screenshots</w:t>
      </w:r>
    </w:p>
    <w:p>
      <w:pPr>
        <w:spacing w:after="120"/>
      </w:pPr>
      <w:r>
        <w:rPr>
          <w:rFonts w:ascii="Roboto" w:cs="Roboto" w:eastAsia="Roboto" w:hAnsi="Roboto"/>
          <w:i/>
          <w:iCs/>
          <w:color w:val="595959"/>
          <w:sz w:val="22"/>
          <w:szCs w:val="22"/>
        </w:rPr>
        <w:t xml:space="preserve">[Screenshots that add context but weren’t essential to the main narrative. kali-abc123 visible in each.]</w:t>
      </w:r>
    </w:p>
    <w:p>
      <w:pPr>
        <w:pStyle w:val="Heading2"/>
        <w:spacing w:after="120" w:before="240"/>
      </w:pPr>
      <w:r>
        <w:rPr>
          <w:rFonts w:ascii="Roboto Slab" w:cs="Roboto Slab" w:eastAsia="Roboto Slab" w:hAnsi="Roboto Slab"/>
          <w:b/>
          <w:bCs/>
          <w:color w:val="2E75B6"/>
          <w:sz w:val="24"/>
          <w:szCs w:val="24"/>
        </w:rPr>
        <w:t xml:space="preserve">C. References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Minimum 10 references, properly formatted. CVE entries, vendor advisories, NIST publications, and tool documentation all count. Format consistently (APA is fine).</w:t>
      </w:r>
    </w:p>
    <w:p>
      <w:pPr>
        <w:pStyle w:val="ListParagraph"/>
        <w:numPr>
          <w:ilvl w:val="0"/>
          <w:numId w:val="3"/>
        </w:numPr>
        <w:spacing w:after="80"/>
      </w:pPr>
      <w:r>
        <w:rPr>
          <w:rFonts w:ascii="Roboto" w:cs="Roboto" w:eastAsia="Roboto" w:hAnsi="Roboto"/>
          <w:color w:val="1A1A1A"/>
          <w:sz w:val="22"/>
          <w:szCs w:val="22"/>
        </w:rPr>
        <w:t xml:space="preserve">[Reference 1]</w:t>
      </w:r>
    </w:p>
    <w:p>
      <w:pPr>
        <w:pStyle w:val="ListParagraph"/>
        <w:numPr>
          <w:ilvl w:val="0"/>
          <w:numId w:val="3"/>
        </w:numPr>
        <w:spacing w:after="80"/>
      </w:pPr>
      <w:r>
        <w:rPr>
          <w:rFonts w:ascii="Roboto" w:cs="Roboto" w:eastAsia="Roboto" w:hAnsi="Roboto"/>
          <w:color w:val="1A1A1A"/>
          <w:sz w:val="22"/>
          <w:szCs w:val="22"/>
        </w:rPr>
        <w:t xml:space="preserve">[Reference 2]</w:t>
      </w:r>
    </w:p>
    <w:p>
      <w:pPr>
        <w:pStyle w:val="ListParagraph"/>
        <w:numPr>
          <w:ilvl w:val="0"/>
          <w:numId w:val="3"/>
        </w:numPr>
        <w:spacing w:after="80"/>
      </w:pPr>
      <w:r>
        <w:rPr>
          <w:rFonts w:ascii="Roboto" w:cs="Roboto" w:eastAsia="Roboto" w:hAnsi="Roboto"/>
          <w:color w:val="1A1A1A"/>
          <w:sz w:val="22"/>
          <w:szCs w:val="22"/>
        </w:rPr>
        <w:t xml:space="preserve">[Reference 3]</w:t>
      </w:r>
    </w:p>
    <w:p>
      <w:pPr>
        <w:pStyle w:val="ListParagraph"/>
        <w:numPr>
          <w:ilvl w:val="0"/>
          <w:numId w:val="3"/>
        </w:numPr>
        <w:spacing w:after="80"/>
      </w:pPr>
      <w:r>
        <w:rPr>
          <w:rFonts w:ascii="Roboto" w:cs="Roboto" w:eastAsia="Roboto" w:hAnsi="Roboto"/>
          <w:color w:val="1A1A1A"/>
          <w:sz w:val="22"/>
          <w:szCs w:val="22"/>
        </w:rPr>
        <w:t xml:space="preserve">[Reference 4]</w:t>
      </w:r>
    </w:p>
    <w:p>
      <w:pPr>
        <w:pStyle w:val="ListParagraph"/>
        <w:numPr>
          <w:ilvl w:val="0"/>
          <w:numId w:val="3"/>
        </w:numPr>
        <w:spacing w:after="80"/>
      </w:pPr>
      <w:r>
        <w:rPr>
          <w:rFonts w:ascii="Roboto" w:cs="Roboto" w:eastAsia="Roboto" w:hAnsi="Roboto"/>
          <w:color w:val="1A1A1A"/>
          <w:sz w:val="22"/>
          <w:szCs w:val="22"/>
        </w:rPr>
        <w:t xml:space="preserve">[Reference 5]</w:t>
      </w:r>
    </w:p>
    <w:p>
      <w:pPr>
        <w:pStyle w:val="ListParagraph"/>
        <w:numPr>
          <w:ilvl w:val="0"/>
          <w:numId w:val="3"/>
        </w:numPr>
        <w:spacing w:after="80"/>
      </w:pPr>
      <w:r>
        <w:rPr>
          <w:rFonts w:ascii="Roboto" w:cs="Roboto" w:eastAsia="Roboto" w:hAnsi="Roboto"/>
          <w:color w:val="1A1A1A"/>
          <w:sz w:val="22"/>
          <w:szCs w:val="22"/>
        </w:rPr>
        <w:t xml:space="preserve">[Reference 6]</w:t>
      </w:r>
    </w:p>
    <w:p>
      <w:pPr>
        <w:pStyle w:val="ListParagraph"/>
        <w:numPr>
          <w:ilvl w:val="0"/>
          <w:numId w:val="3"/>
        </w:numPr>
        <w:spacing w:after="80"/>
      </w:pPr>
      <w:r>
        <w:rPr>
          <w:rFonts w:ascii="Roboto" w:cs="Roboto" w:eastAsia="Roboto" w:hAnsi="Roboto"/>
          <w:color w:val="1A1A1A"/>
          <w:sz w:val="22"/>
          <w:szCs w:val="22"/>
        </w:rPr>
        <w:t xml:space="preserve">[Reference 7]</w:t>
      </w:r>
    </w:p>
    <w:p>
      <w:pPr>
        <w:pStyle w:val="ListParagraph"/>
        <w:numPr>
          <w:ilvl w:val="0"/>
          <w:numId w:val="3"/>
        </w:numPr>
        <w:spacing w:after="80"/>
      </w:pPr>
      <w:r>
        <w:rPr>
          <w:rFonts w:ascii="Roboto" w:cs="Roboto" w:eastAsia="Roboto" w:hAnsi="Roboto"/>
          <w:color w:val="1A1A1A"/>
          <w:sz w:val="22"/>
          <w:szCs w:val="22"/>
        </w:rPr>
        <w:t xml:space="preserve">[Reference 8]</w:t>
      </w:r>
    </w:p>
    <w:p>
      <w:pPr>
        <w:pStyle w:val="ListParagraph"/>
        <w:numPr>
          <w:ilvl w:val="0"/>
          <w:numId w:val="3"/>
        </w:numPr>
        <w:spacing w:after="80"/>
      </w:pPr>
      <w:r>
        <w:rPr>
          <w:rFonts w:ascii="Roboto" w:cs="Roboto" w:eastAsia="Roboto" w:hAnsi="Roboto"/>
          <w:color w:val="1A1A1A"/>
          <w:sz w:val="22"/>
          <w:szCs w:val="22"/>
        </w:rPr>
        <w:t xml:space="preserve">[Reference 9]</w:t>
      </w:r>
    </w:p>
    <w:p>
      <w:pPr>
        <w:pStyle w:val="ListParagraph"/>
        <w:numPr>
          <w:ilvl w:val="0"/>
          <w:numId w:val="3"/>
        </w:numPr>
        <w:spacing w:after="80"/>
      </w:pPr>
      <w:r>
        <w:rPr>
          <w:rFonts w:ascii="Roboto" w:cs="Roboto" w:eastAsia="Roboto" w:hAnsi="Roboto"/>
          <w:color w:val="1A1A1A"/>
          <w:sz w:val="22"/>
          <w:szCs w:val="22"/>
        </w:rPr>
        <w:t xml:space="preserve">[Reference 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Roboto" w:cs="Roboto" w:eastAsia="Roboto" w:hAnsi="Roboto"/>
        <w:color w:val="595959"/>
        <w:sz w:val="15"/>
        <w:szCs w:val="15"/>
      </w:rPr>
      <w:t xml:space="preserve">Engagement Packet</w:t>
    </w:r>
    <w:r>
      <w:rPr>
        <w:rFonts w:ascii="Roboto" w:cs="Roboto" w:eastAsia="Roboto" w:hAnsi="Roboto"/>
      </w:rPr>
      <w:t xml:space="preserve">	</w:t>
    </w:r>
    <w:r>
      <w:rPr>
        <w:rFonts w:ascii="Roboto" w:cs="Roboto" w:eastAsia="Roboto" w:hAnsi="Roboto"/>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pPr>
    <w:r>
      <w:rPr>
        <w:rFonts w:ascii="Roboto" w:cs="Roboto" w:eastAsia="Roboto" w:hAnsi="Roboto"/>
        <w:color w:val="595959"/>
        <w:sz w:val="15"/>
        <w:szCs w:val="15"/>
      </w:rPr>
      <w:t xml:space="preserve">NEXUS SECURITY — CONFIDENTIAL</w:t>
    </w:r>
    <w:r>
      <w:rPr>
        <w:rFonts w:ascii="Roboto" w:cs="Roboto" w:eastAsia="Roboto" w:hAnsi="Roboto"/>
      </w:rPr>
      <w:t xml:space="preserve">	</w:t>
    </w:r>
    <w:r>
      <w:rPr>
        <w:rFonts w:ascii="Roboto" w:cs="Roboto" w:eastAsia="Roboto" w:hAnsi="Roboto"/>
        <w:color w:val="595959"/>
        <w:sz w:val="15"/>
        <w:szCs w:val="15"/>
      </w:rPr>
      <w:t xml:space="preserve">Brazos Financial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Slab" w:cs="Roboto Slab" w:eastAsia="Roboto Slab" w:hAnsi="Roboto Slab"/>
      <w:b/>
      <w:bCs/>
      <w:color w:val="1F4E79"/>
      <w:sz w:val="30"/>
      <w:szCs w:val="30"/>
    </w:rPr>
  </w:style>
  <w:style w:type="paragraph" w:styleId="Heading2">
    <w:name w:val="Heading 2"/>
    <w:basedOn w:val="Normal"/>
    <w:next w:val="Normal"/>
    <w:qFormat/>
    <w:pPr>
      <w:spacing w:after="120" w:before="240"/>
      <w:outlineLvl w:val="1"/>
    </w:pPr>
    <w:rPr>
      <w:rFonts w:ascii="Roboto Slab" w:cs="Roboto Slab" w:eastAsia="Roboto Slab" w:hAnsi="Roboto Slab"/>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6792b11216b81b8cf7c76ce1687d6cc4584213.undefined"/><Relationship Id="rId10" Type="http://schemas.openxmlformats.org/officeDocument/2006/relationships/image" Target="media/8cf8a555da954b0cbb8ea5c0259c7103002b2fc6.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1</dc:description>
  <cp:lastModifiedBy>Un-named</cp:lastModifiedBy>
  <cp:revision>1</cp:revision>
  <dcterms:created xsi:type="dcterms:W3CDTF">2026-05-29T16:35:05.492Z</dcterms:created>
  <dcterms:modified xsi:type="dcterms:W3CDTF">2026-05-29T16:35:05.505Z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