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rFonts w:ascii="Poppins" w:cs="Poppins" w:eastAsia="Poppins" w:hAnsi="Poppins"/>
          <w:i w:val="1"/>
          <w:iCs w:val="1"/>
          <w:color w:val="434343"/>
          <w:sz w:val="16"/>
          <w:szCs w:val="16"/>
        </w:rPr>
      </w:pPr>
      <w:bookmarkStart w:colFirst="0" w:colLast="0" w:name="_dasnxwkst3wd" w:id="0"/>
      <w:bookmarkEnd w:id="0"/>
      <w:r w:rsidDel="00000000" w:rsidR="00000000" w:rsidRPr="00000000">
        <w:rPr>
          <w:rFonts w:ascii="Poppins" w:cs="Poppins" w:eastAsia="Poppins" w:hAnsi="Poppins"/>
          <w:i w:val="1"/>
          <w:iCs w:val="1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434343"/>
          <w:sz w:val="16"/>
          <w:szCs w:val="16"/>
          <w:rtl w:val="0"/>
        </w:rPr>
        <w:t xml:space="preserve">tención: Para utilizar esta plantilla, 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434343"/>
          <w:sz w:val="16"/>
          <w:szCs w:val="16"/>
          <w:rtl w:val="0"/>
        </w:rPr>
        <w:t xml:space="preserve">hacer una copia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434343"/>
          <w:sz w:val="16"/>
          <w:szCs w:val="16"/>
          <w:rtl w:val="0"/>
        </w:rPr>
        <w:t xml:space="preserve"> y seleccionar una carpeta de destino propia </w:t>
        <w:br w:type="textWrapping"/>
        <w:t xml:space="preserve">donde almacenarla. Este documento tiene explicaciones de uso en itálica. </w:t>
        <w:br w:type="textWrapping"/>
        <w:t xml:space="preserve">No olvides borrarlas para que solo quede el contenido del instructivo.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Poppins" w:cs="Poppins" w:eastAsia="Poppins" w:hAnsi="Poppins"/>
          <w:color w:val="434343"/>
          <w:sz w:val="60"/>
          <w:szCs w:val="60"/>
        </w:rPr>
      </w:pPr>
      <w:bookmarkStart w:colFirst="0" w:colLast="0" w:name="_48wl8fbraxsm" w:id="1"/>
      <w:bookmarkEnd w:id="1"/>
      <w:r w:rsidDel="00000000" w:rsidR="00000000" w:rsidRPr="00000000">
        <w:rPr>
          <w:rFonts w:ascii="Poppins" w:cs="Poppins" w:eastAsia="Poppins" w:hAnsi="Poppins"/>
          <w:color w:val="434343"/>
          <w:sz w:val="34"/>
          <w:szCs w:val="34"/>
          <w:rtl w:val="0"/>
        </w:rPr>
        <w:t xml:space="preserve">BUGS / PROBLEMAS REPORTADOS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spacing w:after="0" w:lineRule="auto"/>
        <w:rPr>
          <w:rFonts w:ascii="Poppins" w:cs="Poppins" w:eastAsia="Poppins" w:hAnsi="Poppins"/>
          <w:color w:val="434343"/>
        </w:rPr>
      </w:pPr>
      <w:bookmarkStart w:colFirst="0" w:colLast="0" w:name="_43sibr551p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rFonts w:ascii="Poppins" w:cs="Poppins" w:eastAsia="Poppins" w:hAnsi="Poppins"/>
          <w:color w:val="434343"/>
          <w:sz w:val="60"/>
          <w:szCs w:val="60"/>
        </w:rPr>
      </w:pPr>
      <w:bookmarkStart w:colFirst="0" w:colLast="0" w:name="_jvbesniqndmc" w:id="3"/>
      <w:bookmarkEnd w:id="3"/>
      <w:r w:rsidDel="00000000" w:rsidR="00000000" w:rsidRPr="00000000">
        <w:rPr>
          <w:rFonts w:ascii="Poppins" w:cs="Poppins" w:eastAsia="Poppins" w:hAnsi="Poppins"/>
          <w:color w:val="434343"/>
          <w:sz w:val="60"/>
          <w:szCs w:val="60"/>
          <w:rtl w:val="0"/>
        </w:rPr>
        <w:t xml:space="preserve">N° de caso</w:t>
      </w:r>
    </w:p>
    <w:p w:rsidR="00000000" w:rsidDel="00000000" w:rsidP="00000000" w:rsidRDefault="00000000" w:rsidRPr="00000000" w14:paraId="00000006">
      <w:pPr>
        <w:pStyle w:val="Subtitle"/>
        <w:spacing w:after="0" w:lineRule="auto"/>
        <w:rPr>
          <w:rFonts w:ascii="Poppins" w:cs="Poppins" w:eastAsia="Poppins" w:hAnsi="Poppins"/>
          <w:color w:val="434343"/>
        </w:rPr>
      </w:pPr>
      <w:bookmarkStart w:colFirst="0" w:colLast="0" w:name="_co3o67hkh3hq" w:id="4"/>
      <w:bookmarkEnd w:id="4"/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Fecha de Ingreso:</w:t>
      </w:r>
    </w:p>
    <w:p w:rsidR="00000000" w:rsidDel="00000000" w:rsidP="00000000" w:rsidRDefault="00000000" w:rsidRPr="00000000" w14:paraId="00000007">
      <w:pPr>
        <w:pStyle w:val="Subtitle"/>
        <w:spacing w:after="0" w:lineRule="auto"/>
        <w:rPr>
          <w:rFonts w:ascii="Poppins" w:cs="Poppins" w:eastAsia="Poppins" w:hAnsi="Poppins"/>
          <w:color w:val="434343"/>
        </w:rPr>
      </w:pPr>
      <w:bookmarkStart w:colFirst="0" w:colLast="0" w:name="_24m1vj19n75v" w:id="5"/>
      <w:bookmarkEnd w:id="5"/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Dominio:</w:t>
      </w:r>
    </w:p>
    <w:p w:rsidR="00000000" w:rsidDel="00000000" w:rsidP="00000000" w:rsidRDefault="00000000" w:rsidRPr="00000000" w14:paraId="00000008">
      <w:pPr>
        <w:pStyle w:val="Subtitle"/>
        <w:spacing w:after="0" w:lineRule="auto"/>
        <w:rPr>
          <w:rFonts w:ascii="Poppins" w:cs="Poppins" w:eastAsia="Poppins" w:hAnsi="Poppins"/>
          <w:color w:val="434343"/>
        </w:rPr>
      </w:pPr>
      <w:bookmarkStart w:colFirst="0" w:colLast="0" w:name="_24m1vj19n75v" w:id="5"/>
      <w:bookmarkEnd w:id="5"/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Cliente:</w:t>
      </w:r>
    </w:p>
    <w:p w:rsidR="00000000" w:rsidDel="00000000" w:rsidP="00000000" w:rsidRDefault="00000000" w:rsidRPr="00000000" w14:paraId="00000009">
      <w:pPr>
        <w:pStyle w:val="Subtitle"/>
        <w:spacing w:after="0" w:lineRule="auto"/>
        <w:rPr>
          <w:rFonts w:ascii="Poppins" w:cs="Poppins" w:eastAsia="Poppins" w:hAnsi="Poppins"/>
          <w:color w:val="434343"/>
        </w:rPr>
      </w:pPr>
      <w:bookmarkStart w:colFirst="0" w:colLast="0" w:name="_24m1vj19n75v" w:id="5"/>
      <w:bookmarkEnd w:id="5"/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Redactor: 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color w:val="434343"/>
          <w:sz w:val="36"/>
          <w:szCs w:val="36"/>
        </w:rPr>
      </w:pPr>
      <w:r w:rsidDel="00000000" w:rsidR="00000000" w:rsidRPr="00000000">
        <w:rPr>
          <w:rFonts w:ascii="Poppins" w:cs="Poppins" w:eastAsia="Poppins" w:hAnsi="Poppins"/>
          <w:color w:val="434343"/>
          <w:sz w:val="36"/>
          <w:szCs w:val="36"/>
          <w:rtl w:val="0"/>
        </w:rPr>
        <w:t xml:space="preserve">Servidor propio / dedicado: SI / NO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sz w:val="36"/>
          <w:szCs w:val="36"/>
          <w:rtl w:val="0"/>
        </w:rPr>
        <w:t xml:space="preserve">Prioridad del Caso:</w:t>
      </w: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 </w:t>
      </w:r>
      <w:sdt>
        <w:sdtPr>
          <w:alias w:val="Criticidad del Caso"/>
          <w:id w:val="2019432707"/>
          <w:dropDownList w:lastValue="Baja">
            <w:listItem w:displayText="Baja" w:value="Baja"/>
            <w:listItem w:displayText="Media" w:value="Media"/>
            <w:listItem w:displayText="Alta" w:value="Alta"/>
          </w:dropDownList>
        </w:sdtPr>
        <w:sdtContent>
          <w:r w:rsidDel="00000000" w:rsidR="00000000" w:rsidRPr="00000000">
            <w:rPr>
              <w:rFonts w:ascii="Poppins" w:cs="Poppins" w:eastAsia="Poppins" w:hAnsi="Poppins"/>
              <w:color w:val="0a53a8"/>
              <w:shd w:fill="bfe1f6" w:val="clear"/>
            </w:rPr>
            <w:t xml:space="preserve">Baja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spacing w:before="0" w:lineRule="auto"/>
        <w:rPr>
          <w:rFonts w:ascii="Poppins" w:cs="Poppins" w:eastAsia="Poppins" w:hAnsi="Poppins"/>
          <w:color w:val="434343"/>
          <w:highlight w:val="yellow"/>
        </w:rPr>
      </w:pPr>
      <w:bookmarkStart w:colFirst="0" w:colLast="0" w:name="_hg0x18hfmnwr" w:id="6"/>
      <w:bookmarkEnd w:id="6"/>
      <w:r w:rsidDel="00000000" w:rsidR="00000000" w:rsidRPr="00000000">
        <w:rPr>
          <w:rFonts w:ascii="Poppins" w:cs="Poppins" w:eastAsia="Poppins" w:hAnsi="Poppins"/>
          <w:color w:val="434343"/>
          <w:highlight w:val="yellow"/>
          <w:rtl w:val="0"/>
        </w:rPr>
        <w:t xml:space="preserve">Pegar respuesta y promt  de Finni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spacing w:before="0" w:lineRule="auto"/>
        <w:rPr>
          <w:rFonts w:ascii="Poppins" w:cs="Poppins" w:eastAsia="Poppins" w:hAnsi="Poppins"/>
          <w:color w:val="434343"/>
        </w:rPr>
      </w:pPr>
      <w:bookmarkStart w:colFirst="0" w:colLast="0" w:name="_e68glj47dfum" w:id="7"/>
      <w:bookmarkEnd w:id="7"/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Problema</w:t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Debe responder las siguientes preguntas </w:t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¿Qué no funciona?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¿Qué es lo que pasa?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¿Es la primera vez que hace la transacción?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¿Es una operación estándar?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Adjuntar imágenes y otros datos.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Ejemplos: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Al guardar una orden de producción se duplican los consumos.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Al intentar generar CC desde el plan de obra, el sistema emite el error que se muestra.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Se realiza un parte de trabajo de maquinaria y no se actualiza el horometro de la misma.</w:t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spacing w:before="0" w:lineRule="auto"/>
        <w:rPr>
          <w:rFonts w:ascii="Poppins" w:cs="Poppins" w:eastAsia="Poppins" w:hAnsi="Poppins"/>
          <w:color w:val="434343"/>
        </w:rPr>
      </w:pPr>
      <w:bookmarkStart w:colFirst="0" w:colLast="0" w:name="_f9v1gq9xfv9b" w:id="8"/>
      <w:bookmarkEnd w:id="8"/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Situación actual</w:t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Describir el impacto que tiene el cliente.</w:t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¿Tiene alguna contingencia manual?</w:t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spacing w:before="0" w:lineRule="auto"/>
        <w:rPr>
          <w:rFonts w:ascii="Poppins" w:cs="Poppins" w:eastAsia="Poppins" w:hAnsi="Poppins"/>
          <w:color w:val="434343"/>
        </w:rPr>
      </w:pPr>
      <w:bookmarkStart w:colFirst="0" w:colLast="0" w:name="_22x5q4m9a8mi" w:id="9"/>
      <w:bookmarkEnd w:id="9"/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Caso de uso</w:t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Mostrar con imágenes (si es necesario) qué es lo que hace el cliente y a qué problema se llega.</w:t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Por ejemplo, si el problema es “Se realiza un parte de trabajo de maquinaria y no se actualiza el horometro de la misma” el caso de uso debería mostrar el parte de trabajo realizado y el ABM de la máquina detallando el horómetro que no se actualizó. </w:t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Es importante también identificar la empresa o sucursal, en caso de ser un problema en una grilla o informe ver qué formato está usando el cliente.</w:t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spacing w:before="0" w:lineRule="auto"/>
        <w:rPr>
          <w:rFonts w:ascii="Poppins" w:cs="Poppins" w:eastAsia="Poppins" w:hAnsi="Poppins"/>
          <w:color w:val="434343"/>
        </w:rPr>
      </w:pPr>
      <w:bookmarkStart w:colFirst="0" w:colLast="0" w:name="_63ltdjlcmmy4" w:id="10"/>
      <w:bookmarkEnd w:id="10"/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Resultado esperado</w:t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Muchas veces el cliente dice “me tiene que dar esto”, esta bueno saber eso para tener una idea de a donde se debe llegar. Por ejemplo, si hice un consumo de 30 kg de azúcar y se reporta un problema en el informe de ingreso y egreso de stock, el resultado esperado sería ver un consumo de insumos que baje en 30 unidades la cantidad de azúcar.</w:t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Muchas otras veces, se sabe que algo está mal, pero no qué debería dar. En este caso, no se completa nada.</w:t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2097.6377952755906" w:top="2409.448818897638" w:left="1440.0000000000002" w:right="1257.401574803150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 Extra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-732462</wp:posOffset>
          </wp:positionV>
          <wp:extent cx="7610475" cy="9420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0475" cy="94201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ageBreakBefore w:val="0"/>
      <w:ind w:left="-1440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610475" cy="859655"/>
          <wp:effectExtent b="0" l="0" r="0" t="0"/>
          <wp:wrapTopAndBottom distB="0" dist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4412" l="0" r="0" t="4412"/>
                  <a:stretch>
                    <a:fillRect/>
                  </a:stretch>
                </pic:blipFill>
                <pic:spPr>
                  <a:xfrm>
                    <a:off x="0" y="0"/>
                    <a:ext cx="7610475" cy="8596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 Light" w:cs="Montserrat Light" w:eastAsia="Montserrat Light" w:hAnsi="Montserrat Light"/>
        <w:color w:val="1b2432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color w:val="fc636b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color w:val="ffb900"/>
      <w:sz w:val="60"/>
      <w:szCs w:val="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</w:pPr>
    <w:rPr>
      <w:color w:val="6a67ce"/>
      <w:sz w:val="60"/>
      <w:szCs w:val="6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00" w:lineRule="auto"/>
    </w:pPr>
    <w:rPr>
      <w:color w:val="1aafd0"/>
      <w:sz w:val="48"/>
      <w:szCs w:val="4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</w:pPr>
    <w:rPr>
      <w:color w:val="37c597"/>
      <w:sz w:val="48"/>
      <w:szCs w:val="4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lineRule="auto"/>
    </w:pPr>
    <w:rPr>
      <w:color w:val="676d76"/>
      <w:sz w:val="36"/>
      <w:szCs w:val="3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Montserrat" w:cs="Montserrat" w:eastAsia="Montserrat" w:hAnsi="Montserrat"/>
      <w:color w:val="1b2432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rFonts w:ascii="Montserrat ExtraLight" w:cs="Montserrat ExtraLight" w:eastAsia="Montserrat ExtraLight" w:hAnsi="Montserrat ExtraLight"/>
      <w:color w:val="49505b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Light-italic.ttf"/><Relationship Id="rId10" Type="http://schemas.openxmlformats.org/officeDocument/2006/relationships/font" Target="fonts/MontserratLight-bold.ttf"/><Relationship Id="rId13" Type="http://schemas.openxmlformats.org/officeDocument/2006/relationships/font" Target="fonts/MontserratExtraLight-regular.ttf"/><Relationship Id="rId12" Type="http://schemas.openxmlformats.org/officeDocument/2006/relationships/font" Target="fonts/MontserratLight-boldItalic.ttf"/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9" Type="http://schemas.openxmlformats.org/officeDocument/2006/relationships/font" Target="fonts/MontserratLight-regular.ttf"/><Relationship Id="rId15" Type="http://schemas.openxmlformats.org/officeDocument/2006/relationships/font" Target="fonts/MontserratExtraLight-italic.ttf"/><Relationship Id="rId14" Type="http://schemas.openxmlformats.org/officeDocument/2006/relationships/font" Target="fonts/MontserratExtraLight-bold.ttf"/><Relationship Id="rId16" Type="http://schemas.openxmlformats.org/officeDocument/2006/relationships/font" Target="fonts/MontserratExtraLight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